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EB" w:rsidRPr="00877B29" w:rsidRDefault="00AB2AEB" w:rsidP="00AB2AEB">
      <w:pPr>
        <w:suppressAutoHyphens/>
        <w:snapToGrid w:val="0"/>
        <w:spacing w:after="120" w:line="240" w:lineRule="auto"/>
        <w:ind w:left="720"/>
        <w:jc w:val="center"/>
        <w:rPr>
          <w:rFonts w:ascii="Times New Roman" w:hAnsi="Times New Roman"/>
          <w:b/>
        </w:rPr>
      </w:pPr>
      <w:r w:rsidRPr="004E0E56">
        <w:rPr>
          <w:rFonts w:ascii="Times New Roman" w:hAnsi="Times New Roman"/>
          <w:b/>
        </w:rPr>
        <w:t xml:space="preserve">TEХНИЧЕСКИ  </w:t>
      </w:r>
      <w:r>
        <w:rPr>
          <w:rFonts w:ascii="Times New Roman" w:hAnsi="Times New Roman"/>
          <w:b/>
          <w:lang w:val="bg-BG"/>
        </w:rPr>
        <w:t xml:space="preserve">СПЕЦИФИКАЦИИ </w:t>
      </w:r>
    </w:p>
    <w:p w:rsidR="00BF398A" w:rsidRPr="00B654B8" w:rsidRDefault="004E0E56" w:rsidP="00BF398A">
      <w:pPr>
        <w:suppressAutoHyphens/>
        <w:snapToGrid w:val="0"/>
        <w:spacing w:after="120" w:line="240" w:lineRule="auto"/>
        <w:ind w:left="720"/>
        <w:jc w:val="center"/>
        <w:rPr>
          <w:rFonts w:ascii="Times New Roman" w:hAnsi="Times New Roman"/>
          <w:b/>
          <w:lang w:val="bg-BG"/>
        </w:rPr>
      </w:pPr>
      <w:r w:rsidRPr="004E0E56">
        <w:rPr>
          <w:rFonts w:ascii="Times New Roman" w:hAnsi="Times New Roman"/>
          <w:lang w:val="bg-BG"/>
        </w:rPr>
        <w:t>за изпълнение на дейността</w:t>
      </w:r>
      <w:r w:rsidRPr="004E0E56">
        <w:rPr>
          <w:rFonts w:ascii="Times New Roman" w:hAnsi="Times New Roman"/>
          <w:b/>
          <w:lang w:val="bg-BG"/>
        </w:rPr>
        <w:t xml:space="preserve"> по </w:t>
      </w:r>
      <w:r w:rsidR="001464EB" w:rsidRPr="004E0E56">
        <w:rPr>
          <w:rFonts w:ascii="Times New Roman" w:hAnsi="Times New Roman"/>
          <w:sz w:val="24"/>
          <w:szCs w:val="24"/>
          <w:lang w:val="bg-BG"/>
        </w:rPr>
        <w:t xml:space="preserve">изготвяне на </w:t>
      </w:r>
      <w:r w:rsidR="001464EB" w:rsidRPr="004E0E56">
        <w:rPr>
          <w:rFonts w:ascii="Times New Roman" w:hAnsi="Times New Roman"/>
          <w:b/>
          <w:sz w:val="24"/>
          <w:szCs w:val="24"/>
          <w:lang w:val="bg-BG"/>
        </w:rPr>
        <w:t>обследвания за установяване</w:t>
      </w:r>
      <w:r w:rsidR="001464EB" w:rsidRPr="004E0E56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1464EB" w:rsidRPr="004E0E56">
        <w:rPr>
          <w:rFonts w:ascii="Times New Roman" w:hAnsi="Times New Roman"/>
          <w:b/>
          <w:sz w:val="24"/>
          <w:szCs w:val="24"/>
          <w:lang w:val="bg-BG"/>
        </w:rPr>
        <w:t>техническите характеристики</w:t>
      </w:r>
      <w:r w:rsidR="001464EB" w:rsidRPr="004E0E56">
        <w:rPr>
          <w:rFonts w:ascii="Times New Roman" w:hAnsi="Times New Roman"/>
          <w:sz w:val="24"/>
          <w:szCs w:val="24"/>
          <w:lang w:val="bg-BG"/>
        </w:rPr>
        <w:t>, свързани с изискванията по чл. 169 ал. 1, т. (1 - 5) и ал. 2 ЗУТ</w:t>
      </w:r>
      <w:r w:rsidR="00BF398A">
        <w:rPr>
          <w:rFonts w:ascii="Times New Roman" w:hAnsi="Times New Roman"/>
          <w:sz w:val="24"/>
          <w:szCs w:val="24"/>
          <w:lang w:val="bg-BG"/>
        </w:rPr>
        <w:t>,</w:t>
      </w:r>
      <w:r w:rsidR="001464EB" w:rsidRPr="004E0E56">
        <w:rPr>
          <w:rFonts w:ascii="Times New Roman" w:hAnsi="Times New Roman"/>
          <w:sz w:val="24"/>
          <w:szCs w:val="24"/>
          <w:lang w:val="bg-BG"/>
        </w:rPr>
        <w:t xml:space="preserve"> изготвяне на </w:t>
      </w:r>
      <w:r w:rsidR="001464EB" w:rsidRPr="004E0E56">
        <w:rPr>
          <w:rFonts w:ascii="Times New Roman" w:hAnsi="Times New Roman"/>
          <w:b/>
          <w:sz w:val="24"/>
          <w:szCs w:val="24"/>
          <w:lang w:val="bg-BG"/>
        </w:rPr>
        <w:t>технически паспорт</w:t>
      </w:r>
      <w:r w:rsidR="00BF398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BF398A">
        <w:rPr>
          <w:rFonts w:ascii="Times New Roman" w:hAnsi="Times New Roman"/>
          <w:sz w:val="24"/>
          <w:szCs w:val="24"/>
          <w:lang w:val="bg-BG"/>
        </w:rPr>
        <w:t>и</w:t>
      </w:r>
      <w:r w:rsidR="00BF398A" w:rsidRPr="00BF398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BF398A" w:rsidRPr="00B654B8">
        <w:rPr>
          <w:rFonts w:ascii="Times New Roman" w:hAnsi="Times New Roman"/>
          <w:b/>
          <w:sz w:val="24"/>
          <w:szCs w:val="24"/>
          <w:lang w:val="bg-BG"/>
        </w:rPr>
        <w:t>изготвяне на обследване за енергийна ефективност</w:t>
      </w:r>
      <w:r w:rsidR="00BF398A" w:rsidRPr="00EF485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065F">
        <w:rPr>
          <w:rFonts w:ascii="Times New Roman" w:hAnsi="Times New Roman"/>
          <w:sz w:val="24"/>
          <w:szCs w:val="24"/>
          <w:lang w:val="bg-BG"/>
        </w:rPr>
        <w:t>с</w:t>
      </w:r>
      <w:r w:rsidR="00BF398A" w:rsidRPr="00EF4852">
        <w:rPr>
          <w:rFonts w:ascii="Times New Roman" w:hAnsi="Times New Roman"/>
          <w:sz w:val="24"/>
          <w:szCs w:val="24"/>
          <w:lang w:val="bg-BG"/>
        </w:rPr>
        <w:t xml:space="preserve"> предписване на необходимите ЕСМ в съответствие с нормативните и минимални изисквания за енергийна ефективност;</w:t>
      </w:r>
    </w:p>
    <w:p w:rsidR="001464EB" w:rsidRPr="004E0E56" w:rsidRDefault="001464EB" w:rsidP="004E0E56">
      <w:pPr>
        <w:suppressAutoHyphens/>
        <w:snapToGrid w:val="0"/>
        <w:spacing w:after="120" w:line="240" w:lineRule="auto"/>
        <w:ind w:left="720"/>
        <w:jc w:val="center"/>
        <w:rPr>
          <w:rFonts w:ascii="Times New Roman" w:hAnsi="Times New Roman"/>
          <w:b/>
          <w:lang w:val="bg-BG"/>
        </w:rPr>
      </w:pPr>
    </w:p>
    <w:p w:rsidR="00823342" w:rsidRPr="00823342" w:rsidRDefault="00823342" w:rsidP="00823342">
      <w:pPr>
        <w:snapToGri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3342">
        <w:rPr>
          <w:rFonts w:ascii="Times New Roman" w:hAnsi="Times New Roman"/>
          <w:sz w:val="24"/>
          <w:szCs w:val="24"/>
          <w:lang w:val="bg-BG"/>
        </w:rPr>
        <w:t>Сключването на договор между СС и общината е предпоставка и основание общината да възложи извършването на</w:t>
      </w:r>
      <w:r w:rsidRPr="0082334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823342">
        <w:rPr>
          <w:rFonts w:ascii="Times New Roman" w:hAnsi="Times New Roman"/>
          <w:sz w:val="24"/>
          <w:szCs w:val="24"/>
          <w:lang w:val="bg-BG"/>
        </w:rPr>
        <w:t xml:space="preserve">обследване за установяване на техническите характеристики, свързани с изискванията по чл. 169, </w:t>
      </w:r>
      <w:r w:rsidRPr="00823342">
        <w:rPr>
          <w:rFonts w:ascii="Times New Roman" w:hAnsi="Times New Roman"/>
          <w:bCs/>
          <w:iCs/>
          <w:sz w:val="24"/>
          <w:szCs w:val="24"/>
          <w:lang w:val="bg-BG"/>
        </w:rPr>
        <w:t xml:space="preserve">ал. 1 (т. 1-5) и ал. 2 </w:t>
      </w:r>
      <w:r w:rsidRPr="00823342">
        <w:rPr>
          <w:rFonts w:ascii="Times New Roman" w:hAnsi="Times New Roman"/>
          <w:sz w:val="24"/>
          <w:szCs w:val="24"/>
          <w:lang w:val="bg-BG"/>
        </w:rPr>
        <w:t>от ЗУТ на външен изпълнител, който ще бъде избран от общината по реда на ЗОП.</w:t>
      </w:r>
    </w:p>
    <w:p w:rsidR="00823342" w:rsidRPr="00823342" w:rsidRDefault="00823342" w:rsidP="00823342">
      <w:pPr>
        <w:snapToGri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23342">
        <w:rPr>
          <w:rFonts w:ascii="Times New Roman" w:hAnsi="Times New Roman"/>
          <w:sz w:val="24"/>
          <w:szCs w:val="24"/>
          <w:lang w:val="bg-BG"/>
        </w:rPr>
        <w:t xml:space="preserve">Обследване за установяване на техническите характеристики, свързани с удовлетворяване на изискванията по чл. 169, ал. 1, т. 1 – 5 от ЗУТ ще се изпълнява в съответствие с изискванията, </w:t>
      </w:r>
      <w:r w:rsidRPr="00823342">
        <w:rPr>
          <w:rFonts w:ascii="Times New Roman" w:hAnsi="Times New Roman"/>
          <w:color w:val="000000"/>
          <w:sz w:val="24"/>
          <w:szCs w:val="24"/>
          <w:lang w:val="bg-BG"/>
        </w:rPr>
        <w:t>определени в глава трета на Наредба № 5 от 2006 г. за техническите паспорти на строежите</w:t>
      </w:r>
      <w:r w:rsidRPr="00823342">
        <w:rPr>
          <w:rFonts w:ascii="Times New Roman" w:hAnsi="Times New Roman"/>
          <w:sz w:val="24"/>
          <w:szCs w:val="24"/>
          <w:lang w:val="bg-BG"/>
        </w:rPr>
        <w:t>. Обследването ще послужи за:</w:t>
      </w:r>
    </w:p>
    <w:p w:rsidR="00823342" w:rsidRPr="00823342" w:rsidRDefault="00823342" w:rsidP="00823342">
      <w:pPr>
        <w:snapToGri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23342">
        <w:rPr>
          <w:rFonts w:ascii="Times New Roman" w:hAnsi="Times New Roman"/>
          <w:sz w:val="24"/>
          <w:szCs w:val="24"/>
          <w:lang w:val="bg-BG"/>
        </w:rPr>
        <w:t xml:space="preserve">а.) установяване на конструктивната устойчивост на сградата; </w:t>
      </w:r>
    </w:p>
    <w:p w:rsidR="00823342" w:rsidRPr="000440B5" w:rsidRDefault="00823342" w:rsidP="00823342">
      <w:pPr>
        <w:snapToGri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23342">
        <w:rPr>
          <w:rFonts w:ascii="Times New Roman" w:hAnsi="Times New Roman"/>
          <w:sz w:val="24"/>
          <w:szCs w:val="24"/>
          <w:lang w:val="bg-BG"/>
        </w:rPr>
        <w:t xml:space="preserve">б.) даване на предписания и препоръки за изготвяне на техническа документация съобразно </w:t>
      </w:r>
      <w:bookmarkStart w:id="0" w:name="_GoBack"/>
      <w:r w:rsidRPr="000440B5">
        <w:rPr>
          <w:rFonts w:ascii="Times New Roman" w:hAnsi="Times New Roman"/>
          <w:sz w:val="24"/>
          <w:szCs w:val="24"/>
          <w:lang w:val="bg-BG"/>
        </w:rPr>
        <w:t>допустимите за финансиране дейности;</w:t>
      </w:r>
    </w:p>
    <w:p w:rsidR="00823342" w:rsidRPr="000440B5" w:rsidRDefault="00823342" w:rsidP="00823342">
      <w:pPr>
        <w:snapToGri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0440B5">
        <w:rPr>
          <w:rFonts w:ascii="Times New Roman" w:hAnsi="Times New Roman"/>
          <w:sz w:val="24"/>
          <w:szCs w:val="24"/>
          <w:lang w:val="bg-BG"/>
        </w:rPr>
        <w:t xml:space="preserve">в.) изготвяне на технически паспорт на съответната сграда; </w:t>
      </w:r>
    </w:p>
    <w:p w:rsidR="00823342" w:rsidRPr="000440B5" w:rsidRDefault="00823342" w:rsidP="00823342">
      <w:pPr>
        <w:snapToGri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0440B5">
        <w:rPr>
          <w:rFonts w:ascii="Times New Roman" w:hAnsi="Times New Roman"/>
          <w:sz w:val="24"/>
          <w:szCs w:val="24"/>
          <w:lang w:val="bg-BG"/>
        </w:rPr>
        <w:t>г.) даване на предписания и определяне на график за изпълнението на други ремонтни дейности, които не са допустими за получаване на финансова помощ, но изпълнението на които е необходимо за правилното функциониране на сградата.</w:t>
      </w:r>
    </w:p>
    <w:p w:rsidR="00823342" w:rsidRPr="000440B5" w:rsidRDefault="00540BD7" w:rsidP="00823342">
      <w:pPr>
        <w:snapToGri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440B5">
        <w:rPr>
          <w:rFonts w:ascii="Times New Roman" w:hAnsi="Times New Roman"/>
          <w:b/>
          <w:sz w:val="24"/>
          <w:szCs w:val="24"/>
          <w:lang w:val="bg-BG"/>
        </w:rPr>
        <w:t xml:space="preserve">Предвид липсата на </w:t>
      </w:r>
      <w:r w:rsidR="00823342" w:rsidRPr="000440B5">
        <w:rPr>
          <w:rFonts w:ascii="Times New Roman" w:hAnsi="Times New Roman"/>
          <w:b/>
          <w:sz w:val="24"/>
          <w:szCs w:val="24"/>
          <w:lang w:val="bg-BG"/>
        </w:rPr>
        <w:t>първична техническа документация</w:t>
      </w:r>
      <w:r w:rsidRPr="000440B5">
        <w:rPr>
          <w:rFonts w:ascii="Times New Roman" w:hAnsi="Times New Roman"/>
          <w:b/>
          <w:sz w:val="24"/>
          <w:szCs w:val="24"/>
          <w:lang w:val="bg-BG"/>
        </w:rPr>
        <w:t xml:space="preserve"> или оскъдната такава</w:t>
      </w:r>
      <w:r w:rsidR="00823342" w:rsidRPr="000440B5">
        <w:rPr>
          <w:rFonts w:ascii="Times New Roman" w:hAnsi="Times New Roman"/>
          <w:b/>
          <w:sz w:val="24"/>
          <w:szCs w:val="24"/>
          <w:lang w:val="bg-BG"/>
        </w:rPr>
        <w:t xml:space="preserve">, обследването </w:t>
      </w:r>
      <w:r w:rsidRPr="000440B5">
        <w:rPr>
          <w:rFonts w:ascii="Times New Roman" w:hAnsi="Times New Roman"/>
          <w:b/>
          <w:sz w:val="24"/>
          <w:szCs w:val="24"/>
          <w:lang w:val="bg-BG"/>
        </w:rPr>
        <w:t>да</w:t>
      </w:r>
      <w:r w:rsidR="00823342" w:rsidRPr="000440B5">
        <w:rPr>
          <w:rFonts w:ascii="Times New Roman" w:hAnsi="Times New Roman"/>
          <w:b/>
          <w:sz w:val="24"/>
          <w:szCs w:val="24"/>
          <w:lang w:val="bg-BG"/>
        </w:rPr>
        <w:t xml:space="preserve"> включва и възстановяването й в рамките на необходимото посредством извършване на наложителните заснемания</w:t>
      </w:r>
      <w:r w:rsidRPr="000440B5">
        <w:rPr>
          <w:rFonts w:ascii="Times New Roman" w:hAnsi="Times New Roman"/>
          <w:b/>
          <w:sz w:val="24"/>
          <w:szCs w:val="24"/>
          <w:lang w:val="bg-BG"/>
        </w:rPr>
        <w:t xml:space="preserve"> – архитектурно заснемане с разпределения на всички нива или типово в случай на еднаквост, разрези, план покрив, фасади</w:t>
      </w:r>
      <w:r w:rsidR="00823342" w:rsidRPr="000440B5">
        <w:rPr>
          <w:rFonts w:ascii="Times New Roman" w:hAnsi="Times New Roman"/>
          <w:b/>
          <w:sz w:val="24"/>
          <w:szCs w:val="24"/>
          <w:lang w:val="bg-BG"/>
        </w:rPr>
        <w:t>.</w:t>
      </w:r>
      <w:r w:rsidR="00EF4081" w:rsidRPr="000440B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0440B5">
        <w:rPr>
          <w:rFonts w:ascii="Times New Roman" w:hAnsi="Times New Roman"/>
          <w:b/>
          <w:sz w:val="24"/>
          <w:szCs w:val="24"/>
          <w:lang w:val="bg-BG"/>
        </w:rPr>
        <w:t xml:space="preserve">Заснемането следва да се предаде на хартиен и електронен носител във формат </w:t>
      </w:r>
      <w:r w:rsidRPr="000440B5">
        <w:rPr>
          <w:rFonts w:ascii="Times New Roman" w:hAnsi="Times New Roman"/>
          <w:b/>
          <w:sz w:val="24"/>
          <w:szCs w:val="24"/>
        </w:rPr>
        <w:t xml:space="preserve">PDF </w:t>
      </w:r>
      <w:r w:rsidRPr="000440B5">
        <w:rPr>
          <w:rFonts w:ascii="Times New Roman" w:hAnsi="Times New Roman"/>
          <w:b/>
          <w:sz w:val="24"/>
          <w:szCs w:val="24"/>
          <w:lang w:val="bg-BG"/>
        </w:rPr>
        <w:t xml:space="preserve">и </w:t>
      </w:r>
      <w:r w:rsidRPr="000440B5">
        <w:rPr>
          <w:rFonts w:ascii="Times New Roman" w:hAnsi="Times New Roman"/>
          <w:b/>
          <w:sz w:val="24"/>
          <w:szCs w:val="24"/>
        </w:rPr>
        <w:t>DWG</w:t>
      </w:r>
      <w:r w:rsidRPr="000440B5">
        <w:rPr>
          <w:rFonts w:ascii="Times New Roman" w:hAnsi="Times New Roman"/>
          <w:b/>
          <w:sz w:val="24"/>
          <w:szCs w:val="24"/>
          <w:lang w:val="bg-BG"/>
        </w:rPr>
        <w:t>.</w:t>
      </w:r>
    </w:p>
    <w:p w:rsidR="00823342" w:rsidRPr="000440B5" w:rsidRDefault="00823342" w:rsidP="00823342">
      <w:pPr>
        <w:snapToGri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0440B5">
        <w:rPr>
          <w:rFonts w:ascii="Times New Roman" w:hAnsi="Times New Roman"/>
          <w:sz w:val="24"/>
          <w:szCs w:val="24"/>
          <w:lang w:val="bg-BG"/>
        </w:rPr>
        <w:t>Възстановената документация ще послужи за последващо изработване на техническата документация за нуждите на обновяването, както и при обследване за енергийна ефективност на обектите.</w:t>
      </w:r>
    </w:p>
    <w:p w:rsidR="00823342" w:rsidRPr="000440B5" w:rsidRDefault="00823342" w:rsidP="00823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napToGri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440B5">
        <w:rPr>
          <w:rFonts w:ascii="Times New Roman" w:hAnsi="Times New Roman"/>
          <w:b/>
          <w:sz w:val="24"/>
          <w:szCs w:val="24"/>
          <w:lang w:val="bg-BG"/>
        </w:rPr>
        <w:t>ВАЖНО!</w:t>
      </w:r>
    </w:p>
    <w:p w:rsidR="00823342" w:rsidRPr="000440B5" w:rsidRDefault="00823342" w:rsidP="00823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napToGri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440B5">
        <w:rPr>
          <w:rFonts w:ascii="Times New Roman" w:hAnsi="Times New Roman"/>
          <w:b/>
          <w:sz w:val="24"/>
          <w:szCs w:val="24"/>
          <w:lang w:val="bg-BG"/>
        </w:rPr>
        <w:t>По Национална програма ще се финансират единствено тези дейности по конструктивно възстановяване/усилване/основен ремонт, в зависимост от повредите, настъпили по време на експлоатацията на сградата, които са предписани като задължителни в техническото обследване!</w:t>
      </w:r>
    </w:p>
    <w:p w:rsidR="00823342" w:rsidRPr="000440B5" w:rsidRDefault="00823342" w:rsidP="00823342">
      <w:pPr>
        <w:suppressAutoHyphens/>
        <w:snapToGrid w:val="0"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27464" w:rsidRPr="000440B5" w:rsidRDefault="00427464" w:rsidP="00427464">
      <w:pPr>
        <w:suppressAutoHyphens/>
        <w:snapToGri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bookmarkStart w:id="1" w:name="_Toc409109026"/>
      <w:r w:rsidRPr="000440B5">
        <w:rPr>
          <w:rFonts w:ascii="Times New Roman" w:hAnsi="Times New Roman"/>
          <w:i/>
          <w:sz w:val="24"/>
          <w:szCs w:val="24"/>
          <w:lang w:val="bg-BG"/>
        </w:rPr>
        <w:t>Строително-технически норми и правила. Общи изисквания към строежите и изисквания към строителните продукти в областта на енергийната ефективност</w:t>
      </w:r>
      <w:bookmarkEnd w:id="1"/>
    </w:p>
    <w:p w:rsidR="00427464" w:rsidRPr="000440B5" w:rsidRDefault="00427464" w:rsidP="00427464">
      <w:pPr>
        <w:numPr>
          <w:ilvl w:val="0"/>
          <w:numId w:val="9"/>
        </w:numPr>
        <w:suppressAutoHyphens/>
        <w:snapToGri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2" w:name="_Toc409108750"/>
      <w:bookmarkStart w:id="3" w:name="_Toc409109027"/>
      <w:r w:rsidRPr="000440B5">
        <w:rPr>
          <w:rFonts w:ascii="Times New Roman" w:hAnsi="Times New Roman"/>
          <w:b/>
          <w:bCs/>
          <w:sz w:val="24"/>
          <w:szCs w:val="24"/>
          <w:lang w:val="bg-BG"/>
        </w:rPr>
        <w:t>Строително-технически норми и правила. Общи изисквания към строежите</w:t>
      </w:r>
      <w:bookmarkEnd w:id="2"/>
      <w:bookmarkEnd w:id="3"/>
    </w:p>
    <w:p w:rsidR="00427464" w:rsidRPr="000440B5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0440B5">
        <w:rPr>
          <w:rFonts w:ascii="Times New Roman" w:hAnsi="Times New Roman"/>
          <w:sz w:val="24"/>
          <w:szCs w:val="24"/>
          <w:lang w:val="bg-BG"/>
        </w:rPr>
        <w:t xml:space="preserve">Националното законодателство в областта на енергийната ефективност в сградния сектор включва: ЗЕЕ, ЗУТ, ЗЕ, ЗЕВИ, ЗТИП, Закона за националната стандартизация и др. Законовите и подзаконовите нормативни актове постоянно се хармонизират с правото на Европейския съюз Директива 2010/31/ЕС, Директива 2009/28/ЕО за </w:t>
      </w:r>
      <w:r w:rsidRPr="000440B5">
        <w:rPr>
          <w:rFonts w:ascii="Times New Roman" w:hAnsi="Times New Roman"/>
          <w:sz w:val="24"/>
          <w:szCs w:val="24"/>
          <w:lang w:val="bg-BG"/>
        </w:rPr>
        <w:lastRenderedPageBreak/>
        <w:t>насърчаване използването на енергия от възобновяеми източници, Директива 2006/32/ЕО за ефективността при крайното потребление на енергия и осъществяване на енергийни услуги, отменена от нова Директива 2012/27/ЕС за енергийната ефективност, Регламент (ЕС) № 305/2011 на Европейския парламент и на Съвета от 9 март 2011 г. за определяне на хармонизирани условия за предлагането на пазара на строителни продукти и за отмяна на Директива 89/106/ЕИО, Директивите от „Нов подход” и стандартите от приложното им поле, както и технически норми, методи и принципи на добрите европейски практики.</w:t>
      </w:r>
    </w:p>
    <w:p w:rsidR="00427464" w:rsidRPr="000440B5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0440B5">
        <w:rPr>
          <w:rFonts w:ascii="Times New Roman" w:hAnsi="Times New Roman"/>
          <w:sz w:val="24"/>
          <w:szCs w:val="24"/>
          <w:lang w:val="bg-BG"/>
        </w:rPr>
        <w:t>Основните подзаконови нормативни актове, които определят техническото равнище на енергопотребление в сградите и създават правната и техническата основа за изискванията за енергийна ефективност, са както следва:</w:t>
      </w:r>
    </w:p>
    <w:p w:rsidR="00427464" w:rsidRPr="000440B5" w:rsidRDefault="00427464" w:rsidP="00427464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0440B5">
        <w:rPr>
          <w:rFonts w:ascii="Times New Roman" w:hAnsi="Times New Roman"/>
          <w:i/>
          <w:sz w:val="24"/>
          <w:szCs w:val="24"/>
          <w:lang w:val="bg-BG"/>
        </w:rPr>
        <w:t>На основание на ЗУТ:</w:t>
      </w:r>
    </w:p>
    <w:p w:rsidR="00427464" w:rsidRPr="000440B5" w:rsidRDefault="00427464" w:rsidP="00427464">
      <w:pPr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7 от 2004 г. за енергийна ефективност на сгради;</w:t>
      </w:r>
    </w:p>
    <w:p w:rsidR="00427464" w:rsidRPr="000440B5" w:rsidRDefault="00427464" w:rsidP="00427464">
      <w:pPr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5 от 2006 г. за техническите паспорти на строежите.</w:t>
      </w:r>
    </w:p>
    <w:p w:rsidR="00427464" w:rsidRPr="000440B5" w:rsidRDefault="00427464" w:rsidP="00427464">
      <w:pPr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2 от 2008 г. за проектиране, изпълнение, контрол и приемане на хидроизолации и хидроизолационни системи на сгради и съоръжения.</w:t>
      </w:r>
    </w:p>
    <w:p w:rsidR="00427464" w:rsidRPr="000440B5" w:rsidRDefault="00427464" w:rsidP="00427464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0440B5">
        <w:rPr>
          <w:rFonts w:ascii="Times New Roman" w:hAnsi="Times New Roman"/>
          <w:i/>
          <w:sz w:val="24"/>
          <w:szCs w:val="24"/>
          <w:lang w:val="bg-BG"/>
        </w:rPr>
        <w:t>На основание на ЗЕЕ:</w:t>
      </w:r>
    </w:p>
    <w:p w:rsidR="009836E7" w:rsidRPr="000440B5" w:rsidRDefault="009836E7" w:rsidP="009836E7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hAnsi="Times New Roman"/>
          <w:sz w:val="24"/>
          <w:szCs w:val="24"/>
          <w:lang w:val="bg-BG" w:eastAsia="bg-BG"/>
        </w:rPr>
        <w:t>Наредба № Е-РД-04-1от 22.01.2016 г. за обследване за енергийна ефективност, сертифициране и оценка на енергийните спестявания на сгради;</w:t>
      </w:r>
    </w:p>
    <w:p w:rsidR="009836E7" w:rsidRPr="000440B5" w:rsidRDefault="009836E7" w:rsidP="009836E7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hAnsi="Times New Roman"/>
          <w:sz w:val="24"/>
          <w:szCs w:val="24"/>
          <w:lang w:val="bg-BG" w:eastAsia="bg-BG"/>
        </w:rPr>
        <w:t>Наредба № Е-РД-04-2 от 22.01.2016 г. за показателите за разход на енергия и енергийните характеристики на сградите;</w:t>
      </w:r>
    </w:p>
    <w:p w:rsidR="009836E7" w:rsidRPr="000440B5" w:rsidRDefault="009836E7" w:rsidP="009836E7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hAnsi="Times New Roman"/>
          <w:sz w:val="24"/>
          <w:szCs w:val="24"/>
          <w:lang w:val="bg-BG" w:eastAsia="bg-BG"/>
        </w:rPr>
        <w:t>Наредба № РД-16-932 от 2009 г. за условията и реда за извършване на проверка за енергийна ефективност на водогрейните котли и на климатичните инсталации по    чл. 27, ал. 1 и чл. 28, ал. 1 от Закона за енергийната ефективност и за създаване, поддържане и ползване на базата данни за тях.</w:t>
      </w:r>
    </w:p>
    <w:p w:rsidR="00427464" w:rsidRPr="000440B5" w:rsidRDefault="00427464" w:rsidP="00427464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0440B5">
        <w:rPr>
          <w:rFonts w:ascii="Times New Roman" w:hAnsi="Times New Roman"/>
          <w:i/>
          <w:sz w:val="24"/>
          <w:szCs w:val="24"/>
          <w:lang w:val="bg-BG"/>
        </w:rPr>
        <w:t>На основание на ЗЕ:</w:t>
      </w:r>
    </w:p>
    <w:p w:rsidR="00427464" w:rsidRPr="000440B5" w:rsidRDefault="00427464" w:rsidP="00427464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15 от 2005 г. за технически правила и нормативи за проектиране, изграждане и експлоатация на обектите и съоръженията за производство, пренос и разпределение на топлинна енергия, както и методиките за нейното прилагане.</w:t>
      </w:r>
    </w:p>
    <w:p w:rsidR="00427464" w:rsidRPr="000440B5" w:rsidRDefault="00427464" w:rsidP="00427464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0440B5">
        <w:rPr>
          <w:rFonts w:ascii="Times New Roman" w:hAnsi="Times New Roman"/>
          <w:i/>
          <w:sz w:val="24"/>
          <w:szCs w:val="24"/>
          <w:lang w:val="bg-BG"/>
        </w:rPr>
        <w:t>На основание на ЗТИП:</w:t>
      </w:r>
    </w:p>
    <w:p w:rsidR="00947540" w:rsidRPr="000440B5" w:rsidRDefault="00947540" w:rsidP="00947540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hAnsi="Times New Roman"/>
          <w:sz w:val="24"/>
          <w:szCs w:val="24"/>
          <w:lang w:val="bg-BG" w:eastAsia="bg-BG"/>
        </w:rPr>
        <w:t>Наредба №РД-02-20-1 от 05.02.2015 г. за условията и реда за влагане на строителни продукти в строежите на Република България</w:t>
      </w:r>
    </w:p>
    <w:p w:rsidR="00427464" w:rsidRPr="000440B5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0440B5">
        <w:rPr>
          <w:rFonts w:ascii="Times New Roman" w:hAnsi="Times New Roman"/>
          <w:sz w:val="24"/>
          <w:szCs w:val="24"/>
          <w:lang w:val="bg-BG"/>
        </w:rPr>
        <w:t>При проектирането на строежите (сгради и строителни съоръжения) трябва да се предвиждат, а при изпълнението им да се влагат, строителни продукти, които осигуряват изпълнението на основните изисквания към строежите, определени в приложение I на Регламент (ЕС) № 305/2011 на Европейския парламент и на Съвета от 9 март 2011 г. за определяне на хармонизирани условия за предлагането на пазара на строителни продукти и за отмяна на Директива 89/106/ЕИО и с чл. 169 от ЗУТ, както следва:</w:t>
      </w:r>
    </w:p>
    <w:p w:rsidR="00427464" w:rsidRPr="000440B5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носимоспособност - механично съпротивление и устойчивост на строителните конструкции и на земната основа при натоварвания по време на строителството и при експлоатационни и сеизмични натоварвания;</w:t>
      </w:r>
    </w:p>
    <w:p w:rsidR="00427464" w:rsidRPr="000440B5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безопасност в случай на пожар;</w:t>
      </w:r>
    </w:p>
    <w:p w:rsidR="00427464" w:rsidRPr="000440B5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lastRenderedPageBreak/>
        <w:t>хигиена, здраве и околна среда;</w:t>
      </w:r>
    </w:p>
    <w:p w:rsidR="00427464" w:rsidRPr="000440B5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достъпност и безопасност при експлоатация;</w:t>
      </w:r>
    </w:p>
    <w:p w:rsidR="00427464" w:rsidRPr="000440B5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защита от шум;</w:t>
      </w:r>
    </w:p>
    <w:p w:rsidR="00427464" w:rsidRPr="000440B5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енергийна ефективност - икономия на енергия и топлосъхранение;</w:t>
      </w:r>
    </w:p>
    <w:p w:rsidR="00691AFC" w:rsidRPr="000440B5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устойчиво използване на природните ресурси.</w:t>
      </w:r>
    </w:p>
    <w:p w:rsidR="00427464" w:rsidRPr="000440B5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0440B5">
        <w:rPr>
          <w:rFonts w:ascii="Times New Roman" w:hAnsi="Times New Roman"/>
          <w:sz w:val="24"/>
          <w:szCs w:val="24"/>
          <w:lang w:val="bg-BG"/>
        </w:rPr>
        <w:t xml:space="preserve">Наредбите за енергийните характеристики на сградите и за енергийна ефективност, топлосъхранение и икономия на енергия в сгради се прилагат </w:t>
      </w:r>
      <w:r w:rsidRPr="000440B5">
        <w:rPr>
          <w:rFonts w:ascii="Times New Roman" w:hAnsi="Times New Roman"/>
          <w:i/>
          <w:sz w:val="24"/>
          <w:szCs w:val="24"/>
          <w:lang w:val="bg-BG"/>
        </w:rPr>
        <w:t xml:space="preserve">съгласувано </w:t>
      </w:r>
      <w:r w:rsidRPr="000440B5">
        <w:rPr>
          <w:rFonts w:ascii="Times New Roman" w:hAnsi="Times New Roman"/>
          <w:sz w:val="24"/>
          <w:szCs w:val="24"/>
          <w:lang w:val="bg-BG"/>
        </w:rPr>
        <w:t>и са нормативната база за планиране, проектиране, обследване и сертифициране на сградите.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right="140"/>
        <w:jc w:val="both"/>
        <w:outlineLvl w:val="0"/>
        <w:rPr>
          <w:rFonts w:ascii="Times New Roman" w:eastAsia="Times New Roman" w:hAnsi="Times New Roman"/>
          <w:strike/>
          <w:sz w:val="24"/>
          <w:szCs w:val="24"/>
          <w:lang w:val="bg-BG" w:eastAsia="bg-BG"/>
        </w:rPr>
      </w:pPr>
      <w:bookmarkStart w:id="4" w:name="_Toc409108751"/>
      <w:bookmarkStart w:id="5" w:name="_Toc409109028"/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Минималните изисквания при планиране, проектиране, изпълнение и поддържане на сградите по отношение на енергийните им характеристики са следните:</w:t>
      </w:r>
      <w:bookmarkEnd w:id="4"/>
      <w:bookmarkEnd w:id="5"/>
    </w:p>
    <w:p w:rsidR="00427464" w:rsidRPr="000440B5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да не представляват заплаха за хигиената или здравето на обитателите или на съседите и за опазването на околната среда, параметрите на микроклимата да осигуряват нормите за топлинна среда (комфорт), осветеност, качество на въздуха, влага и шум; </w:t>
      </w:r>
    </w:p>
    <w:p w:rsidR="00427464" w:rsidRPr="000440B5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отоплителните, климатичните и вентилационните инсталации да са проектирани и изпълнени по такъв начин, че необходимото при експлоатацията количество енергия да е минимално;</w:t>
      </w:r>
    </w:p>
    <w:p w:rsidR="00427464" w:rsidRPr="000440B5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да са защитени със съответстваща на тяхното предназначение, местоположение и климатични условия топлинна и шумоизолация, както и от неприемливи въздействия от вибрации; </w:t>
      </w:r>
    </w:p>
    <w:p w:rsidR="00427464" w:rsidRPr="000440B5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да са енергоефективни, като разходват възможно най-малко енергия по време на тяхното изграждане, експлоатация и разрушаване; </w:t>
      </w:r>
    </w:p>
    <w:p w:rsidR="00427464" w:rsidRPr="000440B5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да са съобразени с възможностите за оползотворяване на слънчевата енергия и на енергията от други възобновяеми източници, когато е технически осъществимо и икономически целесъобразно.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Техническият показател, който се нормира в числова стойност за съответните нива на енергийна ефективност от скалата на класовете на енергопотребление е интегрираният показател „</w:t>
      </w:r>
      <w:r w:rsidRPr="000440B5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специфичен годишен разход</w:t>
      </w: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на </w:t>
      </w:r>
      <w:r w:rsidRPr="000440B5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първична</w:t>
      </w: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енергия в kWh/m</w:t>
      </w:r>
      <w:r w:rsidRPr="000440B5">
        <w:rPr>
          <w:rFonts w:ascii="Times New Roman" w:eastAsia="Times New Roman" w:hAnsi="Times New Roman"/>
          <w:sz w:val="24"/>
          <w:szCs w:val="24"/>
          <w:vertAlign w:val="superscript"/>
          <w:lang w:val="bg-BG" w:eastAsia="bg-BG"/>
        </w:rPr>
        <w:t>2</w:t>
      </w: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“. За различните предназначения на сградите този показател има различни нормативни числови стойности за съответните нива на енергопотребление по скалата от А</w:t>
      </w:r>
      <w:r w:rsidRPr="000440B5">
        <w:rPr>
          <w:rFonts w:ascii="Times New Roman" w:eastAsia="Times New Roman" w:hAnsi="Times New Roman"/>
          <w:sz w:val="24"/>
          <w:szCs w:val="24"/>
          <w:vertAlign w:val="superscript"/>
          <w:lang w:val="bg-BG" w:eastAsia="bg-BG"/>
        </w:rPr>
        <w:t>+</w:t>
      </w: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до G.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При изчисляването на специфичния годишен разход на първична енергия се включват най-малко: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1) ориентацията, размерите и формата на сградата;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2) характеристиките на сградните ограждащи конструкции, елементите и вътрешните пространства, в т.ч.: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а) топлинни, включително на вътрешните конструктивни елементи: топлинен капацитет, изолация, пасивно отопление, охлаждащи компоненти и топлинни мостове;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б) въздухопропускливост;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3) влагоустойчивостта и водонепропускливостта;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lastRenderedPageBreak/>
        <w:t>4) системите за отопление и гореща вода за битови нужди, включително изолационните характеристики;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5) климатичните инсталации;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6) системите за вентилация;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7) естественото осветление и осветителните инсталации;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8) пасивните слънчеви системи и слънчевата защита;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9) естествената вентилация;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10) системите за оползотворяване на възобновяеми енергийни източници;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11) външните климатични условия, в т.ч. разположението и изложението на сградата и вътрешните климатични условия;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12) вътрешните енергийни товари.</w:t>
      </w:r>
    </w:p>
    <w:p w:rsidR="00427464" w:rsidRPr="000440B5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</w:pPr>
      <w:r w:rsidRPr="000440B5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>Посочените</w:t>
      </w:r>
      <w:r w:rsidRPr="000440B5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 елементи участват задължително в енергийния баланс на сградата, определяйки я като интегрирана система, която разходва енергия при съответни климатични условия. </w:t>
      </w:r>
    </w:p>
    <w:p w:rsidR="00427464" w:rsidRPr="000440B5" w:rsidRDefault="00427464" w:rsidP="00427464">
      <w:pPr>
        <w:numPr>
          <w:ilvl w:val="0"/>
          <w:numId w:val="9"/>
        </w:numPr>
        <w:suppressAutoHyphens/>
        <w:snapToGri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0440B5">
        <w:rPr>
          <w:rFonts w:ascii="Times New Roman" w:hAnsi="Times New Roman"/>
          <w:b/>
          <w:bCs/>
          <w:sz w:val="24"/>
          <w:szCs w:val="24"/>
          <w:lang w:val="bg-BG"/>
        </w:rPr>
        <w:t>Технически паспорт.</w:t>
      </w:r>
      <w:r w:rsidR="00126BC0" w:rsidRPr="000440B5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0440B5">
        <w:rPr>
          <w:rFonts w:ascii="Times New Roman" w:hAnsi="Times New Roman"/>
          <w:b/>
          <w:bCs/>
          <w:sz w:val="24"/>
          <w:szCs w:val="24"/>
          <w:lang w:val="bg-BG"/>
        </w:rPr>
        <w:t xml:space="preserve">Техническото обследване за установяване на техническите характеристики на сградата. Препоръки за обхват. </w:t>
      </w:r>
    </w:p>
    <w:p w:rsidR="00427464" w:rsidRPr="000440B5" w:rsidRDefault="00427464" w:rsidP="00427464">
      <w:pPr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0440B5">
        <w:rPr>
          <w:rFonts w:ascii="Times New Roman" w:eastAsiaTheme="minorHAnsi" w:hAnsi="Times New Roman"/>
          <w:sz w:val="24"/>
          <w:szCs w:val="24"/>
          <w:lang w:val="bg-BG"/>
        </w:rPr>
        <w:t>Техническият паспорт на съществуваща жилищна сграда се извършва след проведено обследване за установяване на техническите й характеристики, свързани с изискванията по чл. 169, ал. 1 - 3 от ЗУТ и включва:</w:t>
      </w:r>
    </w:p>
    <w:p w:rsidR="00427464" w:rsidRPr="000440B5" w:rsidRDefault="00427464" w:rsidP="00427464">
      <w:pPr>
        <w:spacing w:after="12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0440B5">
        <w:rPr>
          <w:rFonts w:ascii="Times New Roman" w:eastAsiaTheme="minorHAnsi" w:hAnsi="Times New Roman"/>
          <w:sz w:val="24"/>
          <w:szCs w:val="24"/>
          <w:lang w:val="bg-BG"/>
        </w:rPr>
        <w:t xml:space="preserve">1) съставяне на информационна база данни за нормативните (проектните) стойности на техническите характеристики на обследвания строеж, в т.ч. и тези, свързани със съществените изисквания по чл. 169, ал. 1 - 3 ЗУТ, </w:t>
      </w:r>
      <w:r w:rsidRPr="000440B5">
        <w:rPr>
          <w:rFonts w:ascii="Times New Roman" w:eastAsiaTheme="minorHAnsi" w:hAnsi="Times New Roman"/>
          <w:lang w:val="bg-BG"/>
        </w:rPr>
        <w:t xml:space="preserve"> </w:t>
      </w:r>
      <w:r w:rsidRPr="000440B5">
        <w:rPr>
          <w:rFonts w:ascii="Times New Roman" w:eastAsiaTheme="minorHAnsi" w:hAnsi="Times New Roman"/>
          <w:sz w:val="24"/>
          <w:szCs w:val="24"/>
          <w:lang w:val="bg-BG"/>
        </w:rPr>
        <w:t>в т.ч. оценка за сеизмичната осигуреност на строежа;</w:t>
      </w:r>
    </w:p>
    <w:p w:rsidR="00427464" w:rsidRPr="000440B5" w:rsidRDefault="00427464" w:rsidP="00427464">
      <w:pPr>
        <w:spacing w:after="12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0440B5">
        <w:rPr>
          <w:rFonts w:ascii="Times New Roman" w:eastAsiaTheme="minorHAnsi" w:hAnsi="Times New Roman"/>
          <w:sz w:val="24"/>
          <w:szCs w:val="24"/>
          <w:lang w:val="bg-BG"/>
        </w:rPr>
        <w:t>2) установяване на действителните технически характеристики на строежа по разделите на част А от техническия паспорт;</w:t>
      </w:r>
    </w:p>
    <w:p w:rsidR="00427464" w:rsidRPr="000440B5" w:rsidRDefault="00427464" w:rsidP="00427464">
      <w:pPr>
        <w:spacing w:after="12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0440B5">
        <w:rPr>
          <w:rFonts w:ascii="Times New Roman" w:eastAsiaTheme="minorHAnsi" w:hAnsi="Times New Roman"/>
          <w:sz w:val="24"/>
          <w:szCs w:val="24"/>
          <w:lang w:val="bg-BG"/>
        </w:rPr>
        <w:t>3) анализ на действителните технически характеристики на строежа и оценка на съответствието им с нормативните стойности, определени в т. 1;</w:t>
      </w:r>
    </w:p>
    <w:p w:rsidR="00427464" w:rsidRPr="000440B5" w:rsidRDefault="00427464" w:rsidP="00427464">
      <w:pPr>
        <w:spacing w:after="12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0440B5">
        <w:rPr>
          <w:rFonts w:ascii="Times New Roman" w:eastAsiaTheme="minorHAnsi" w:hAnsi="Times New Roman"/>
          <w:sz w:val="24"/>
          <w:szCs w:val="24"/>
          <w:lang w:val="bg-BG"/>
        </w:rPr>
        <w:t>4) разработване на мерки;</w:t>
      </w:r>
    </w:p>
    <w:p w:rsidR="00427464" w:rsidRPr="000440B5" w:rsidRDefault="00427464" w:rsidP="00427464">
      <w:pPr>
        <w:spacing w:after="12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0440B5">
        <w:rPr>
          <w:rFonts w:ascii="Times New Roman" w:eastAsiaTheme="minorHAnsi" w:hAnsi="Times New Roman"/>
          <w:sz w:val="24"/>
          <w:szCs w:val="24"/>
          <w:lang w:val="bg-BG"/>
        </w:rPr>
        <w:t>5) съставяне на доклад за резултатите от обследването.</w:t>
      </w:r>
    </w:p>
    <w:p w:rsidR="00427464" w:rsidRPr="000440B5" w:rsidRDefault="00427464" w:rsidP="00427464">
      <w:pPr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0440B5">
        <w:rPr>
          <w:rFonts w:ascii="Times New Roman" w:eastAsiaTheme="minorHAnsi" w:hAnsi="Times New Roman"/>
          <w:sz w:val="24"/>
          <w:szCs w:val="24"/>
          <w:lang w:val="bg-BG"/>
        </w:rPr>
        <w:t>Минималната информация, която е необходима за оценката на сеизмичната осигуреност на строежа, е дадена в приложение № 1 от</w:t>
      </w:r>
      <w:r w:rsidRPr="000440B5">
        <w:rPr>
          <w:rFonts w:ascii="Times New Roman" w:eastAsiaTheme="minorHAnsi" w:hAnsi="Times New Roman"/>
          <w:lang w:val="bg-BG"/>
        </w:rPr>
        <w:t xml:space="preserve"> </w:t>
      </w:r>
      <w:r w:rsidRPr="000440B5">
        <w:rPr>
          <w:rFonts w:ascii="Times New Roman" w:eastAsiaTheme="minorHAnsi" w:hAnsi="Times New Roman"/>
          <w:sz w:val="24"/>
          <w:szCs w:val="24"/>
          <w:lang w:val="bg-BG"/>
        </w:rPr>
        <w:t>Наредба № РД-02-20-2 от 27 януари 2012 г. за проектиране на сгради и съоръжения в земетръсни райони.</w:t>
      </w:r>
    </w:p>
    <w:p w:rsidR="00427464" w:rsidRPr="000440B5" w:rsidRDefault="00427464" w:rsidP="00427464">
      <w:pPr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0440B5">
        <w:rPr>
          <w:rFonts w:ascii="Times New Roman" w:eastAsiaTheme="minorHAnsi" w:hAnsi="Times New Roman"/>
          <w:sz w:val="24"/>
          <w:szCs w:val="24"/>
          <w:lang w:val="bg-BG"/>
        </w:rPr>
        <w:t>Обследването на строежите се извършва от консултант, получил лиценз от министъра на регионалното развитие и благоустройството по реда на наредбата по чл. 166, ал. 2, или от проектанти от различни специалности с пълна проектантска правоспособност, като, в състава им се включват физически лица, упражняващи технически контрол по част „Конструктивна“.</w:t>
      </w:r>
    </w:p>
    <w:p w:rsidR="00427464" w:rsidRPr="000440B5" w:rsidRDefault="00427464" w:rsidP="00427464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Проектантът, съответно консултантът е компетентен да реши дали предложените енергоспестяващи мерки от енергийното обследване попадат в обхвата на дефинициите на реконструкция, модернизация, основно обновяване или основен ремонт, за които е необходимо разрешение за строеж, съответно разрешение или удостоверение за въвеждане в експлоатация в зависимост от категорията на строежа съгласно чл. 137 от ЗУТ. </w:t>
      </w:r>
    </w:p>
    <w:p w:rsidR="00427464" w:rsidRPr="000440B5" w:rsidRDefault="004E0E56" w:rsidP="00427464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0440B5">
        <w:rPr>
          <w:rFonts w:ascii="Times New Roman" w:hAnsi="Times New Roman"/>
          <w:b/>
          <w:sz w:val="24"/>
          <w:szCs w:val="24"/>
          <w:lang w:val="bg-BG"/>
        </w:rPr>
        <w:lastRenderedPageBreak/>
        <w:t>О</w:t>
      </w:r>
      <w:r w:rsidR="00427464" w:rsidRPr="000440B5">
        <w:rPr>
          <w:rFonts w:ascii="Times New Roman" w:hAnsi="Times New Roman"/>
          <w:b/>
          <w:sz w:val="24"/>
          <w:szCs w:val="24"/>
          <w:lang w:val="bg-BG"/>
        </w:rPr>
        <w:t xml:space="preserve">бхват на техническото обследване </w:t>
      </w:r>
      <w:r w:rsidR="00427464" w:rsidRPr="000440B5">
        <w:rPr>
          <w:rFonts w:ascii="Times New Roman" w:hAnsi="Times New Roman"/>
          <w:b/>
          <w:bCs/>
          <w:sz w:val="24"/>
          <w:szCs w:val="24"/>
          <w:lang w:val="bg-BG"/>
        </w:rPr>
        <w:t>приложим за целите на програмата.</w:t>
      </w:r>
    </w:p>
    <w:p w:rsidR="00427464" w:rsidRPr="000440B5" w:rsidRDefault="00427464" w:rsidP="00427464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0440B5">
        <w:rPr>
          <w:rFonts w:ascii="Times New Roman" w:hAnsi="Times New Roman"/>
          <w:bCs/>
          <w:sz w:val="24"/>
          <w:szCs w:val="24"/>
          <w:lang w:val="bg-BG"/>
        </w:rPr>
        <w:t>Обследването за установяване на техническите характеристики на сградата следва да се извършва по части на инвестиционния проект, както следва:</w:t>
      </w:r>
    </w:p>
    <w:p w:rsidR="00427464" w:rsidRPr="000440B5" w:rsidRDefault="00427464" w:rsidP="00427464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Част „Архитектурна” – извършва се архитектурно заснемане, ако не е налична проектна документация. Отразяват се всички промени по фасадите и в разпределенията,  извършени по време на експлоатацията. Отразяват се размерите и видът на дограмата. </w:t>
      </w:r>
    </w:p>
    <w:p w:rsidR="00427464" w:rsidRPr="000440B5" w:rsidRDefault="00427464" w:rsidP="00427464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Част „Конструктивна” – изключително важна част, с която се цели доказване на носещата и сеизмичната устойчивост на конструкцията за достатъчно дълъг експлоатационен период – поне 40 години. </w:t>
      </w:r>
    </w:p>
    <w:p w:rsidR="00427464" w:rsidRPr="000440B5" w:rsidRDefault="00427464" w:rsidP="00427464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Част „ВиК” – обследват се всички водопроводни и канализационни щрангове, отводняването на покрива, състоянието на противопожарните кранове и др. Извършва се сравнение с действащите норми по време на построяването на сградата и с действащите в момента норми. Дават се предписания за привеждане в съответствие с действащите норми.</w:t>
      </w:r>
    </w:p>
    <w:p w:rsidR="00427464" w:rsidRPr="000440B5" w:rsidRDefault="00427464" w:rsidP="00427464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Част „Ел. инсталации” – обследват се вътрешните силнотокови и слаботокови инсталации, връзки, електромерни табла, асансьорни табла, звънчева и домофонна инсталация и др. Обследва се състоянието на мълниезащитната инсталация. Извършва се сравнение с действащите норми по време на построяването на сградата и с действащите в момента норми. Дават се предписания за привеждане в съответствие с действащите норми.</w:t>
      </w:r>
    </w:p>
    <w:p w:rsidR="00427464" w:rsidRPr="000440B5" w:rsidRDefault="00427464" w:rsidP="00427464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Част „ОВК” – обследват се отоплителната инсталация, ако има изградена такава, състоянието на мрежите, типът и състоянието на абонатната станция</w:t>
      </w:r>
      <w:r w:rsidR="00D043B6" w:rsidRPr="000440B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или локално котелно</w:t>
      </w:r>
      <w:r w:rsidRPr="000440B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. Обследват се други топлоизточници и уреди за БГВ. Отразяват се извършените ремонтни работи по фасадите за частично полагане на топлоизолационна система – вид, размери и др. Дават се предписания за привеждане в съответствие с действащите норми.</w:t>
      </w:r>
    </w:p>
    <w:p w:rsidR="00427464" w:rsidRPr="000440B5" w:rsidRDefault="00427464" w:rsidP="00427464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Част „Пожарна безопасност” – обследват се сградата за пожарна опасност, състоянието на пожарогасителната инсталация, ако има такава, пожарната опасност на асансьорната уредба, пътищата за евакуация. Дават се предписания за привеждане в съответствие с действащите норми.</w:t>
      </w:r>
    </w:p>
    <w:p w:rsidR="00427464" w:rsidRPr="000440B5" w:rsidRDefault="00427464" w:rsidP="00427464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Към всяка една от частите - архитектурна, конструктивна и инсталационните (ВиК, Електро- и ОВК) се извършава обследване на ограждащите конструкции и елементи на сградата и на използваните строителни продукти по отношение на защитата от шум на сградата. Извършва се сравнение с действащите норми по време на построяването на сградата и с действащите минимални изисквания за шумоизолиране на сградите. Дават се предписания за привеждане в съответствие с действащите норми и за обосновка на избраните строителни продукти.</w:t>
      </w:r>
    </w:p>
    <w:p w:rsidR="00427464" w:rsidRPr="000440B5" w:rsidRDefault="00427464" w:rsidP="00427464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0440B5">
        <w:rPr>
          <w:rFonts w:ascii="Times New Roman" w:hAnsi="Times New Roman"/>
          <w:b/>
          <w:bCs/>
          <w:sz w:val="24"/>
          <w:szCs w:val="24"/>
          <w:lang w:val="bg-BG"/>
        </w:rPr>
        <w:t>Препоръчително съдържание на конструктивните обследвания (</w:t>
      </w:r>
      <w:r w:rsidRPr="000440B5">
        <w:rPr>
          <w:rFonts w:ascii="Times New Roman" w:hAnsi="Times New Roman"/>
          <w:i/>
          <w:sz w:val="24"/>
          <w:szCs w:val="24"/>
          <w:u w:val="single"/>
          <w:lang w:val="bg-BG"/>
        </w:rPr>
        <w:t>съгласно разработена от КИИП "Методика за единните критерии за обследване за съществуващи сгради, съоръжения и инсталации").</w:t>
      </w:r>
    </w:p>
    <w:p w:rsidR="00427464" w:rsidRPr="000440B5" w:rsidRDefault="00427464" w:rsidP="00427464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t>Запознаване и анализиране на наличната проектна документация за носещата конструкция на сградата – идентифициране на конструктивната система, идентифициране на типа на фундиране, анализиране на наличната информация относно хидрогеоложките условия на фундиране на обследвания обект, и др.</w:t>
      </w:r>
    </w:p>
    <w:p w:rsidR="00427464" w:rsidRPr="00427464" w:rsidRDefault="00427464" w:rsidP="00427464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440B5">
        <w:rPr>
          <w:rFonts w:ascii="Times New Roman" w:eastAsia="Times New Roman" w:hAnsi="Times New Roman"/>
          <w:sz w:val="24"/>
          <w:szCs w:val="24"/>
          <w:lang w:val="bg-BG" w:eastAsia="bg-BG"/>
        </w:rPr>
        <w:lastRenderedPageBreak/>
        <w:t>Извършване на конструктивно заснемане/при необ</w:t>
      </w:r>
      <w:bookmarkEnd w:id="0"/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ходимост/, технически оглед, визуално </w:t>
      </w:r>
    </w:p>
    <w:p w:rsidR="00427464" w:rsidRPr="00427464" w:rsidRDefault="00427464" w:rsidP="00427464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Събиране на информация относно общите геометрични размери на носещата конструкция – междуетажни височини, конструктивни междуосия, наличие на дилатационни фуги и др.</w:t>
      </w:r>
    </w:p>
    <w:p w:rsidR="00427464" w:rsidRPr="00427464" w:rsidRDefault="00427464" w:rsidP="00427464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Установяване на основните размери на напречните сечения на главните конструктивни те елементи от сградата и сравняване с тези от проекта по част „Конструкции“, ако има налична проектна документация.</w:t>
      </w:r>
    </w:p>
    <w:p w:rsidR="00427464" w:rsidRPr="00427464" w:rsidRDefault="00427464" w:rsidP="00427464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Установяване на якостните и деформационните свойства на вложените в конструкциите материали в главните елементи на конструкцията (бетон, армировка, стомана и др.).</w:t>
      </w:r>
    </w:p>
    <w:p w:rsidR="00427464" w:rsidRPr="00427464" w:rsidRDefault="00427464" w:rsidP="00427464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Установяване на дефекти и повреди в конструкцията. При наличие на такива се извършва инструментално обследване и документиране на наличните дефекти, пукнатини и повреди в елементите на конструкцията на сградата, участъци с открита армировка, промени в структурата на бетона или стоманата, недопустими деформации и провисвания на отделни елементи и др., свързани с досегашния експлоатационен период. Установяване на състоянието на характерни дюбелни съединения - уплътняващ състав, наличие на корозия по носещите пръти, състояние на ел. заварките – параметри и обработка, брой и вид на носещите пръти в дадено дюбелно съединение.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27464">
        <w:rPr>
          <w:rFonts w:ascii="Times New Roman" w:hAnsi="Times New Roman"/>
          <w:b/>
          <w:sz w:val="24"/>
          <w:szCs w:val="24"/>
          <w:lang w:val="bg-BG"/>
        </w:rPr>
        <w:t>7.</w:t>
      </w:r>
      <w:r w:rsidRPr="0042746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27464">
        <w:rPr>
          <w:rFonts w:ascii="Times New Roman" w:hAnsi="Times New Roman"/>
          <w:sz w:val="24"/>
          <w:szCs w:val="24"/>
          <w:lang w:val="bg-BG"/>
        </w:rPr>
        <w:tab/>
        <w:t>Конструктивна оценка на сградата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27464">
        <w:rPr>
          <w:rFonts w:ascii="Times New Roman" w:hAnsi="Times New Roman"/>
          <w:sz w:val="24"/>
          <w:szCs w:val="24"/>
          <w:lang w:val="bg-BG"/>
        </w:rPr>
        <w:t>7.1</w:t>
      </w:r>
      <w:r w:rsidRPr="00427464">
        <w:rPr>
          <w:rFonts w:ascii="Times New Roman" w:hAnsi="Times New Roman"/>
          <w:b/>
          <w:sz w:val="24"/>
          <w:szCs w:val="24"/>
          <w:lang w:val="bg-BG"/>
        </w:rPr>
        <w:t>.</w:t>
      </w:r>
      <w:r w:rsidRPr="0042746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27464">
        <w:rPr>
          <w:rFonts w:ascii="Times New Roman" w:hAnsi="Times New Roman"/>
          <w:sz w:val="24"/>
          <w:szCs w:val="24"/>
          <w:lang w:val="bg-BG"/>
        </w:rPr>
        <w:tab/>
        <w:t>Систематизиране на информацията относно нормите и критериите на проектиране, използвани при първоначално проектиране на носещата конструкция на сградата и/или при извършване на промени или интервенции в конструкцията по време на досегашния период.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27464">
        <w:rPr>
          <w:rFonts w:ascii="Times New Roman" w:hAnsi="Times New Roman"/>
          <w:sz w:val="24"/>
          <w:szCs w:val="24"/>
          <w:lang w:val="bg-BG"/>
        </w:rPr>
        <w:t xml:space="preserve">7.2а. </w:t>
      </w:r>
      <w:r w:rsidRPr="00427464">
        <w:rPr>
          <w:rFonts w:ascii="Times New Roman" w:hAnsi="Times New Roman"/>
          <w:sz w:val="24"/>
          <w:szCs w:val="24"/>
          <w:lang w:val="bg-BG"/>
        </w:rPr>
        <w:tab/>
        <w:t>Установяване на типа и значимостта на минали конструктивни повреди, включително и проведени ремонтни дейности.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27464">
        <w:rPr>
          <w:rFonts w:ascii="Times New Roman" w:hAnsi="Times New Roman"/>
          <w:sz w:val="24"/>
          <w:szCs w:val="24"/>
          <w:lang w:val="bg-BG"/>
        </w:rPr>
        <w:t xml:space="preserve">7.2б. </w:t>
      </w:r>
      <w:r w:rsidRPr="00427464">
        <w:rPr>
          <w:rFonts w:ascii="Times New Roman" w:hAnsi="Times New Roman"/>
          <w:sz w:val="24"/>
          <w:szCs w:val="24"/>
          <w:lang w:val="bg-BG"/>
        </w:rPr>
        <w:tab/>
        <w:t>Установяване на извършвани преустройства в партерните етажи и засегнати ли са носещи конструктивни елементи.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27464">
        <w:rPr>
          <w:rFonts w:ascii="Times New Roman" w:hAnsi="Times New Roman"/>
          <w:sz w:val="24"/>
          <w:szCs w:val="24"/>
          <w:lang w:val="bg-BG"/>
        </w:rPr>
        <w:t xml:space="preserve">7.3. </w:t>
      </w:r>
      <w:r w:rsidRPr="00427464">
        <w:rPr>
          <w:rFonts w:ascii="Times New Roman" w:hAnsi="Times New Roman"/>
          <w:sz w:val="24"/>
          <w:szCs w:val="24"/>
          <w:lang w:val="bg-BG"/>
        </w:rPr>
        <w:tab/>
        <w:t>Проверка на носещата способност и сеизмична осигуреност на ЕПЖС секцията и на характерни елементи на конструкцията при отчитане актуалните характеристики на вложените материали.</w:t>
      </w:r>
    </w:p>
    <w:p w:rsidR="00427464" w:rsidRPr="00427464" w:rsidRDefault="00427464" w:rsidP="00427464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Обобщени резултати за конструктивната оценка на сградата и основни препоръки за привеждането й в съответствие с изискванията на съвременните нормативни актове.</w:t>
      </w:r>
    </w:p>
    <w:p w:rsidR="00427464" w:rsidRPr="00877B29" w:rsidRDefault="00427464" w:rsidP="00427464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Заключение за съотношението между действителната носеща способност и антисеизмична </w:t>
      </w:r>
      <w:r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t>устойчивост, очакваните въздействия при бъдещата й експлоатация.</w:t>
      </w:r>
    </w:p>
    <w:p w:rsidR="00427464" w:rsidRPr="00877B29" w:rsidRDefault="00691AFC" w:rsidP="00427464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77B29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Забележка:</w:t>
      </w:r>
      <w:r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Да се има предвид, че екипите</w:t>
      </w:r>
      <w:r w:rsidR="00427464"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за обследване за техническите характеристики и изготвяне на технически паспорт на сградата; </w:t>
      </w:r>
      <w:r w:rsidR="00427464"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за извършване на обследване за енергийна ефективност, и за проектиране </w:t>
      </w:r>
      <w:r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трябва </w:t>
      </w:r>
      <w:r w:rsidR="00427464"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да работят съгласувано за постигане на техническите изисквания към сградата. Този процес включва и изготвяне на коректни количествено-стойностни сметки (КСС) от проектантите, изготвяне на икономическата оценка в доклада от енергийното обследване на база КСС с оглед гарантиране ефективността на разходите за енергийно обновяване. Този подход </w:t>
      </w:r>
      <w:r w:rsidR="00427464"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lastRenderedPageBreak/>
        <w:t>понякога изисква итеративни действия между екипите и детайлно съгласуване на всеки етап от инженерните процедури.</w:t>
      </w:r>
    </w:p>
    <w:p w:rsidR="00427464" w:rsidRDefault="00427464" w:rsidP="00427464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Когато предложените с енергийното обследване </w:t>
      </w: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мерки са основание за разработване на инвестиционен проект, който подлежи на оценяване на съответствието с изискванията на чл. 169 и на съгласуване и одобряване от съответните държавни и общински органи (чл. 144 ЗУТ), този проект още при разработването му трябва да бъде съобразен и с останалите основни изисквания към строежа, а именно с действащите норми и правила за надеждност и сеизмична устойчивост на конструкцията, за пожарна безопасност, както и със санитарно-хигиенните изисквания и с изискванията за безопасна експлоатация. Изпълнението на тези основни изисквания също не трябва да противоречат на изискванията за енергийна ефективност т.е прилага се интегриран подход при изпълнение на нормите.</w:t>
      </w:r>
    </w:p>
    <w:p w:rsidR="00126BC0" w:rsidRDefault="00126BC0" w:rsidP="00427464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:rsidR="006034ED" w:rsidRPr="00126BC0" w:rsidRDefault="00126BC0" w:rsidP="00126BC0">
      <w:pPr>
        <w:pStyle w:val="ListParagraph"/>
        <w:numPr>
          <w:ilvl w:val="0"/>
          <w:numId w:val="9"/>
        </w:numPr>
        <w:rPr>
          <w:b/>
        </w:rPr>
      </w:pPr>
      <w:r w:rsidRPr="00126BC0">
        <w:rPr>
          <w:b/>
          <w:color w:val="000000"/>
        </w:rPr>
        <w:t>Обследването за енергийна ефективност</w:t>
      </w:r>
      <w:r>
        <w:rPr>
          <w:b/>
        </w:rPr>
        <w:t>.</w:t>
      </w:r>
    </w:p>
    <w:p w:rsidR="00126BC0" w:rsidRDefault="00126BC0" w:rsidP="000B455D">
      <w:pPr>
        <w:autoSpaceDE w:val="0"/>
        <w:autoSpaceDN w:val="0"/>
        <w:adjustRightInd w:val="0"/>
        <w:snapToGrid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bg-BG"/>
        </w:rPr>
      </w:pPr>
    </w:p>
    <w:p w:rsidR="000B455D" w:rsidRPr="00B654B8" w:rsidRDefault="000B455D" w:rsidP="000B455D">
      <w:pPr>
        <w:autoSpaceDE w:val="0"/>
        <w:autoSpaceDN w:val="0"/>
        <w:adjustRightInd w:val="0"/>
        <w:snapToGrid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bg-BG"/>
        </w:rPr>
      </w:pPr>
      <w:r w:rsidRPr="00B654B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Обследването за </w:t>
      </w:r>
      <w:r w:rsidRPr="00B654B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енергийна ефективност</w:t>
      </w:r>
      <w:r w:rsidRPr="00B654B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предписва необходимите енергоспестяващи мерки за постигане на съответствие с изискванията за енергийна ефективност съгласно р</w:t>
      </w:r>
      <w:r w:rsidRPr="00B654B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азпоредбите на раздел II</w:t>
      </w:r>
      <w:r w:rsidR="000D73A6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от глава трета</w:t>
      </w:r>
      <w:r w:rsidRPr="00B654B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„Обследване за енергийна ефективност и сертифициране на сгради” от ЗЕЕ и при условията и по реда, определен от </w:t>
      </w:r>
      <w:r w:rsidRPr="00B654B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Наредба </w:t>
      </w:r>
      <w:r w:rsidRPr="00B654B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16-1594 от 2013 г. за обследване за енергийна ефективност, сертифициране и оценка на енергийните спестявания на сгради.</w:t>
      </w:r>
      <w:r w:rsidRPr="00B654B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В съответствие с изискванията на тази наредба докладът за енергийното обследване трябва да представи формирани алтернативни пакети от мерки със съответстваща технико-икономическа и екологична оценка. </w:t>
      </w:r>
    </w:p>
    <w:p w:rsidR="000B455D" w:rsidRPr="00B654B8" w:rsidRDefault="000B455D" w:rsidP="000B45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autoSpaceDE w:val="0"/>
        <w:autoSpaceDN w:val="0"/>
        <w:adjustRightInd w:val="0"/>
        <w:snapToGri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654B8">
        <w:rPr>
          <w:rFonts w:ascii="Times New Roman" w:hAnsi="Times New Roman"/>
          <w:b/>
          <w:sz w:val="24"/>
          <w:szCs w:val="24"/>
          <w:lang w:val="bg-BG"/>
        </w:rPr>
        <w:t xml:space="preserve">ВАЖНО! </w:t>
      </w:r>
    </w:p>
    <w:p w:rsidR="000B455D" w:rsidRPr="00B654B8" w:rsidRDefault="000B455D" w:rsidP="000B45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autoSpaceDE w:val="0"/>
        <w:autoSpaceDN w:val="0"/>
        <w:adjustRightInd w:val="0"/>
        <w:snapToGrid w:val="0"/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 w:rsidRPr="00B654B8">
        <w:rPr>
          <w:rFonts w:ascii="Times New Roman" w:hAnsi="Times New Roman"/>
          <w:b/>
          <w:sz w:val="24"/>
          <w:szCs w:val="24"/>
          <w:lang w:val="bg-BG"/>
        </w:rPr>
        <w:t>По Националната програма ще се финансира икономически най-ефективният пакет от енергоспестяващи мерки за сградата, с който се постига клас на енергопотребление „С“ в съответствие с Наредба № 7 от 2004 г. за енергийна ефективност на сгради.</w:t>
      </w:r>
    </w:p>
    <w:p w:rsidR="000B455D" w:rsidRPr="0013623A" w:rsidRDefault="000B455D" w:rsidP="000B455D">
      <w:pPr>
        <w:suppressAutoHyphens/>
        <w:snapToGri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654B8">
        <w:rPr>
          <w:rFonts w:ascii="Times New Roman" w:hAnsi="Times New Roman"/>
          <w:b/>
          <w:bCs/>
          <w:sz w:val="24"/>
          <w:szCs w:val="24"/>
          <w:lang w:val="bg-BG"/>
        </w:rPr>
        <w:t>За изпълнение на задължителните мерки по обновяване на сградата, предписани в резултат на техническото и енергийното обследване, собствениците дават предварително съгласие чрез протокола от ОС на СС (приложение 9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623A">
        <w:rPr>
          <w:rFonts w:ascii="Times New Roman" w:hAnsi="Times New Roman"/>
          <w:b/>
          <w:bCs/>
          <w:sz w:val="24"/>
          <w:szCs w:val="24"/>
        </w:rPr>
        <w:t>o</w:t>
      </w:r>
      <w:r w:rsidRPr="0013623A">
        <w:rPr>
          <w:rFonts w:ascii="Times New Roman" w:hAnsi="Times New Roman"/>
          <w:b/>
          <w:bCs/>
          <w:sz w:val="24"/>
          <w:szCs w:val="24"/>
          <w:lang w:val="bg-BG"/>
        </w:rPr>
        <w:t xml:space="preserve">т Методическите указания на МРРБ) и декларации от собствениците – нечленуващи в сдружението.  </w:t>
      </w:r>
    </w:p>
    <w:p w:rsidR="000B455D" w:rsidRPr="00B654B8" w:rsidRDefault="000B455D" w:rsidP="000B455D">
      <w:pPr>
        <w:suppressAutoHyphens/>
        <w:snapToGri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654B8">
        <w:rPr>
          <w:rFonts w:ascii="Times New Roman" w:hAnsi="Times New Roman"/>
          <w:b/>
          <w:bCs/>
          <w:sz w:val="24"/>
          <w:szCs w:val="24"/>
          <w:lang w:val="bg-BG"/>
        </w:rPr>
        <w:t xml:space="preserve">В случаите, когато обследването за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енергийна ефективност предписва</w:t>
      </w:r>
      <w:r w:rsidRPr="00B654B8">
        <w:rPr>
          <w:rFonts w:ascii="Times New Roman" w:hAnsi="Times New Roman"/>
          <w:b/>
          <w:bCs/>
          <w:sz w:val="24"/>
          <w:szCs w:val="24"/>
          <w:lang w:val="bg-BG"/>
        </w:rPr>
        <w:t xml:space="preserve"> някоя от посочените дейности, се изисква съгласие </w:t>
      </w:r>
      <w:r w:rsidRPr="00B654B8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на всички собственици</w:t>
      </w:r>
      <w:r w:rsidRPr="00B654B8">
        <w:rPr>
          <w:rFonts w:ascii="Times New Roman" w:hAnsi="Times New Roman"/>
          <w:b/>
          <w:bCs/>
          <w:sz w:val="24"/>
          <w:szCs w:val="24"/>
          <w:lang w:val="bg-BG"/>
        </w:rPr>
        <w:t xml:space="preserve"> в сградата:</w:t>
      </w:r>
    </w:p>
    <w:p w:rsidR="000B455D" w:rsidRPr="00B654B8" w:rsidRDefault="000B455D" w:rsidP="000B455D">
      <w:pPr>
        <w:numPr>
          <w:ilvl w:val="0"/>
          <w:numId w:val="10"/>
        </w:numPr>
        <w:suppressAutoHyphens/>
        <w:snapToGri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B654B8">
        <w:rPr>
          <w:rFonts w:ascii="Times New Roman" w:eastAsia="Times New Roman" w:hAnsi="Times New Roman"/>
          <w:sz w:val="24"/>
          <w:szCs w:val="24"/>
          <w:lang w:val="bg-BG" w:eastAsia="bg-BG"/>
        </w:rPr>
        <w:t>подмяна на локални източници на топлина/котелни стопанства или прилежащите им съоръжения, собственост на ССО, вкл. смяна на горивната база при доказан енергоспестяващ и екологичен ефект;</w:t>
      </w:r>
    </w:p>
    <w:p w:rsidR="000B455D" w:rsidRPr="00B654B8" w:rsidRDefault="000B455D" w:rsidP="000B455D">
      <w:pPr>
        <w:numPr>
          <w:ilvl w:val="0"/>
          <w:numId w:val="10"/>
        </w:numPr>
        <w:suppressAutoHyphens/>
        <w:snapToGri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B654B8">
        <w:rPr>
          <w:rFonts w:ascii="Times New Roman" w:eastAsia="Times New Roman" w:hAnsi="Times New Roman"/>
          <w:sz w:val="24"/>
          <w:szCs w:val="24"/>
          <w:lang w:val="bg-BG" w:eastAsia="bg-BG"/>
        </w:rPr>
        <w:t>изграждане на системи за оползотворяване на енергията от възобновяеми източници за енергийните потребности на сградата;</w:t>
      </w:r>
    </w:p>
    <w:p w:rsidR="000B455D" w:rsidRPr="00B654B8" w:rsidRDefault="000B455D" w:rsidP="000B455D">
      <w:pPr>
        <w:numPr>
          <w:ilvl w:val="0"/>
          <w:numId w:val="10"/>
        </w:numPr>
        <w:suppressAutoHyphens/>
        <w:snapToGri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B654B8">
        <w:rPr>
          <w:rFonts w:ascii="Times New Roman" w:eastAsia="Times New Roman" w:hAnsi="Times New Roman"/>
          <w:sz w:val="24"/>
          <w:szCs w:val="24"/>
          <w:lang w:val="bg-BG" w:eastAsia="bg-BG"/>
        </w:rPr>
        <w:t>ремонт или подмяна на амортизирани общи части на системите за отопление, охлаждане и вентилация на сградата за повишаване на енергийната ефективност;</w:t>
      </w:r>
    </w:p>
    <w:p w:rsidR="000B455D" w:rsidRPr="00B654B8" w:rsidRDefault="000B455D" w:rsidP="000B455D">
      <w:pPr>
        <w:numPr>
          <w:ilvl w:val="0"/>
          <w:numId w:val="10"/>
        </w:numPr>
        <w:suppressAutoHyphens/>
        <w:snapToGri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B654B8">
        <w:rPr>
          <w:rFonts w:ascii="Times New Roman" w:eastAsia="Times New Roman" w:hAnsi="Times New Roman"/>
          <w:sz w:val="24"/>
          <w:szCs w:val="24"/>
          <w:lang w:val="bg-BG" w:eastAsia="bg-BG"/>
        </w:rPr>
        <w:t>реконструкция на вертикалната система за отопление в хоризонтална, като се осигурява индивидуално отчитане на разхода на топлина за всеки ССО в сградата;</w:t>
      </w:r>
    </w:p>
    <w:p w:rsidR="000B455D" w:rsidRPr="00B654B8" w:rsidRDefault="000B455D" w:rsidP="000B455D">
      <w:pPr>
        <w:numPr>
          <w:ilvl w:val="0"/>
          <w:numId w:val="10"/>
        </w:numPr>
        <w:suppressAutoHyphens/>
        <w:snapToGri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B654B8">
        <w:rPr>
          <w:rFonts w:ascii="Times New Roman" w:eastAsia="Times New Roman" w:hAnsi="Times New Roman"/>
          <w:sz w:val="24"/>
          <w:szCs w:val="24"/>
          <w:lang w:val="bg-BG" w:eastAsia="bg-BG"/>
        </w:rPr>
        <w:lastRenderedPageBreak/>
        <w:t>ремонт или подмяна на електрическата инсталация в общите части на сградата;</w:t>
      </w:r>
    </w:p>
    <w:p w:rsidR="000B455D" w:rsidRPr="00B654B8" w:rsidRDefault="000B455D" w:rsidP="000B455D">
      <w:pPr>
        <w:numPr>
          <w:ilvl w:val="0"/>
          <w:numId w:val="10"/>
        </w:numPr>
        <w:suppressAutoHyphens/>
        <w:snapToGri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B654B8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газифициране на сградите (монтиране на газов котел и присъединяване към градска газоразпределителна мрежа, когато е налична в близост до сградата; </w:t>
      </w:r>
    </w:p>
    <w:p w:rsidR="000B455D" w:rsidRPr="00B654B8" w:rsidRDefault="000B455D" w:rsidP="000B455D">
      <w:pPr>
        <w:numPr>
          <w:ilvl w:val="0"/>
          <w:numId w:val="10"/>
        </w:numPr>
        <w:suppressAutoHyphens/>
        <w:snapToGri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B654B8">
        <w:rPr>
          <w:rFonts w:ascii="Times New Roman" w:eastAsia="Times New Roman" w:hAnsi="Times New Roman"/>
          <w:sz w:val="24"/>
          <w:szCs w:val="24"/>
          <w:lang w:val="bg-BG" w:eastAsia="bg-BG"/>
        </w:rPr>
        <w:t>мерки за повишаване на енергийната ефективност на асансьорите.</w:t>
      </w:r>
    </w:p>
    <w:p w:rsidR="000B455D" w:rsidRDefault="000B455D" w:rsidP="000B455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</w:pPr>
      <w:r w:rsidRPr="00427464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Съответствието с изискванията за енергийна ефективност за целите на </w:t>
      </w:r>
      <w:r w:rsidRPr="00427464">
        <w:rPr>
          <w:rFonts w:ascii="Times New Roman" w:eastAsia="Times New Roman" w:hAnsi="Times New Roman"/>
          <w:b/>
          <w:sz w:val="24"/>
          <w:szCs w:val="24"/>
          <w:shd w:val="clear" w:color="auto" w:fill="FEFEFE"/>
          <w:lang w:val="bg-BG"/>
        </w:rPr>
        <w:t>Националната програма за енергийна ефективност на многофамилни жилищни сгради</w:t>
      </w:r>
      <w:r w:rsidRPr="00427464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, за които първото им въвеждане в експлоатация е до 01.02. 2010 г., включително се приема за изпълнено, когато </w:t>
      </w:r>
      <w:r w:rsidRPr="00427464">
        <w:rPr>
          <w:rFonts w:ascii="Times New Roman" w:eastAsia="Times New Roman" w:hAnsi="Times New Roman"/>
          <w:i/>
          <w:sz w:val="24"/>
          <w:szCs w:val="24"/>
          <w:shd w:val="clear" w:color="auto" w:fill="FEFEFE"/>
          <w:lang w:val="bg-BG"/>
        </w:rPr>
        <w:t>интегрираният показател – специфичен годишен разход на първична енергия в kWh/m</w:t>
      </w:r>
      <w:r w:rsidRPr="00427464">
        <w:rPr>
          <w:rFonts w:ascii="Times New Roman" w:eastAsia="Times New Roman" w:hAnsi="Times New Roman"/>
          <w:i/>
          <w:sz w:val="24"/>
          <w:szCs w:val="24"/>
          <w:shd w:val="clear" w:color="auto" w:fill="FEFEFE"/>
          <w:vertAlign w:val="superscript"/>
          <w:lang w:val="bg-BG"/>
        </w:rPr>
        <w:t>2</w:t>
      </w:r>
      <w:r w:rsidRPr="00427464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 </w:t>
      </w:r>
      <w:r w:rsidRPr="00427464">
        <w:rPr>
          <w:rFonts w:ascii="Times New Roman" w:eastAsia="Times New Roman" w:hAnsi="Times New Roman"/>
          <w:i/>
          <w:sz w:val="24"/>
          <w:szCs w:val="24"/>
          <w:shd w:val="clear" w:color="auto" w:fill="FEFEFE"/>
          <w:lang w:val="bg-BG"/>
        </w:rPr>
        <w:t>годишно</w:t>
      </w:r>
      <w:r w:rsidRPr="00427464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, съответства най-малко на клас на енергопотребление „С”. </w:t>
      </w:r>
    </w:p>
    <w:p w:rsidR="000B455D" w:rsidRPr="00E42465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Скалата с числови стойности на енергопотребление за </w:t>
      </w: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>жилищни сгради е както следва:</w:t>
      </w:r>
    </w:p>
    <w:p w:rsidR="000B455D" w:rsidRPr="00EF4852" w:rsidRDefault="000B455D" w:rsidP="000B455D">
      <w:pPr>
        <w:pStyle w:val="Default"/>
        <w:spacing w:after="120"/>
        <w:ind w:firstLine="709"/>
        <w:jc w:val="both"/>
        <w:rPr>
          <w:rFonts w:ascii="Times New Roman" w:hAnsi="Times New Roman" w:cs="Times New Roman"/>
          <w:color w:val="auto"/>
        </w:rPr>
      </w:pPr>
      <w:r w:rsidRPr="00EF4852">
        <w:rPr>
          <w:rFonts w:ascii="Times New Roman" w:hAnsi="Times New Roman" w:cs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191216DF" wp14:editId="66043AAE">
            <wp:simplePos x="0" y="0"/>
            <wp:positionH relativeFrom="column">
              <wp:posOffset>1124585</wp:posOffset>
            </wp:positionH>
            <wp:positionV relativeFrom="paragraph">
              <wp:posOffset>-45720</wp:posOffset>
            </wp:positionV>
            <wp:extent cx="2591435" cy="2719705"/>
            <wp:effectExtent l="0" t="0" r="0" b="4445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435" cy="271970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0B455D" w:rsidRPr="00EF4852" w:rsidRDefault="000B455D" w:rsidP="000B455D">
      <w:pPr>
        <w:pStyle w:val="Default"/>
        <w:spacing w:after="120"/>
        <w:ind w:firstLine="709"/>
        <w:jc w:val="both"/>
        <w:rPr>
          <w:rFonts w:ascii="Times New Roman" w:hAnsi="Times New Roman" w:cs="Times New Roman"/>
          <w:color w:val="auto"/>
        </w:rPr>
      </w:pPr>
      <w:r w:rsidRPr="00EF4852">
        <w:rPr>
          <w:rFonts w:ascii="Times New Roman" w:hAnsi="Times New Roman" w:cs="Times New Roman"/>
          <w:color w:val="auto"/>
        </w:rPr>
        <w:tab/>
      </w:r>
    </w:p>
    <w:p w:rsidR="000B455D" w:rsidRPr="00EF4852" w:rsidRDefault="000B455D" w:rsidP="000B455D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0B455D" w:rsidRPr="00EF4852" w:rsidRDefault="000B455D" w:rsidP="000B455D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0B455D" w:rsidRPr="00EF4852" w:rsidRDefault="000B455D" w:rsidP="000B455D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0B455D" w:rsidRPr="00EF4852" w:rsidRDefault="000B455D" w:rsidP="000B455D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0B455D" w:rsidRPr="00EF4852" w:rsidRDefault="000B455D" w:rsidP="000B455D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0B455D" w:rsidRPr="00EF4852" w:rsidRDefault="000B455D" w:rsidP="000B455D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0B455D" w:rsidRPr="00EF4852" w:rsidRDefault="000B455D" w:rsidP="000B455D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0B455D" w:rsidRPr="00EF4852" w:rsidRDefault="000B455D" w:rsidP="000B455D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0B455D" w:rsidRPr="00EF4852" w:rsidRDefault="000B455D" w:rsidP="000B455D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0B455D" w:rsidRPr="008A3335" w:rsidRDefault="000B455D" w:rsidP="000B455D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8A3335">
        <w:rPr>
          <w:rFonts w:ascii="Times New Roman" w:hAnsi="Times New Roman" w:cs="Times New Roman"/>
        </w:rPr>
        <w:t xml:space="preserve">Техническите норми за минимални изисквания към енергийните характеристики на сградите и сградните компоненти са разработени въз основа на </w:t>
      </w:r>
      <w:r w:rsidRPr="008A3335">
        <w:rPr>
          <w:rFonts w:ascii="Times New Roman" w:hAnsi="Times New Roman" w:cs="Times New Roman"/>
          <w:i/>
        </w:rPr>
        <w:t>ефективността на разходите</w:t>
      </w:r>
      <w:r w:rsidRPr="008A3335">
        <w:rPr>
          <w:rFonts w:ascii="Times New Roman" w:hAnsi="Times New Roman" w:cs="Times New Roman"/>
        </w:rPr>
        <w:t xml:space="preserve"> съгласно изискванията на делегирания Регламент (ЕС) № 244/2012 на Комисията от 16 януари 2012 </w:t>
      </w:r>
      <w:r>
        <w:rPr>
          <w:rFonts w:ascii="Times New Roman" w:hAnsi="Times New Roman" w:cs="Times New Roman"/>
        </w:rPr>
        <w:t>г</w:t>
      </w:r>
      <w:r w:rsidRPr="008A3335">
        <w:rPr>
          <w:rFonts w:ascii="Times New Roman" w:hAnsi="Times New Roman" w:cs="Times New Roman"/>
        </w:rPr>
        <w:t>. Постигането на нивата на енергопотребление по скалата е свързано с прецизна оценка на инвестициите за подобряване на енергийната ефективност, които не трябва да надхвърлят приходите от осъщественото енергоспестяване и едновременно с това да гарантират целесъобразен срок на възвръщаемост на вложените средства. Такава оценка – за целесъобразността на инвестициите за енергоспестяване</w:t>
      </w:r>
      <w:r>
        <w:rPr>
          <w:rFonts w:ascii="Times New Roman" w:hAnsi="Times New Roman" w:cs="Times New Roman"/>
        </w:rPr>
        <w:t>,</w:t>
      </w:r>
      <w:r w:rsidRPr="008A3335">
        <w:rPr>
          <w:rFonts w:ascii="Times New Roman" w:hAnsi="Times New Roman" w:cs="Times New Roman"/>
        </w:rPr>
        <w:t xml:space="preserve"> включва оценка на пакети от енергоспестяващи мерки в различни комбинации и определяне на икономически най-изгодния пакет за достигане на минималното изискване – клас „</w:t>
      </w:r>
      <w:r w:rsidRPr="008A3335">
        <w:rPr>
          <w:rFonts w:ascii="Times New Roman" w:hAnsi="Times New Roman" w:cs="Times New Roman"/>
          <w:b/>
        </w:rPr>
        <w:t>С</w:t>
      </w:r>
      <w:r w:rsidRPr="008A3335">
        <w:rPr>
          <w:rFonts w:ascii="Times New Roman" w:hAnsi="Times New Roman" w:cs="Times New Roman"/>
        </w:rPr>
        <w:t xml:space="preserve">“ на енергопотребление в съществуваща жилищна сграда. Концепцията за ефективност на разходите е заложена по категоричен начин и в легалната дефиниция на понятието </w:t>
      </w:r>
      <w:r>
        <w:rPr>
          <w:rFonts w:ascii="Times New Roman" w:hAnsi="Times New Roman" w:cs="Times New Roman"/>
        </w:rPr>
        <w:t>„</w:t>
      </w:r>
      <w:r w:rsidRPr="008A3335">
        <w:rPr>
          <w:rFonts w:ascii="Times New Roman" w:hAnsi="Times New Roman" w:cs="Times New Roman"/>
        </w:rPr>
        <w:t>Енергийна ефективност в сгради</w:t>
      </w:r>
      <w:r>
        <w:rPr>
          <w:rFonts w:ascii="Times New Roman" w:hAnsi="Times New Roman" w:cs="Times New Roman"/>
        </w:rPr>
        <w:t>”</w:t>
      </w:r>
      <w:r w:rsidRPr="008A3335">
        <w:rPr>
          <w:rFonts w:ascii="Times New Roman" w:hAnsi="Times New Roman" w:cs="Times New Roman"/>
        </w:rPr>
        <w:t xml:space="preserve"> – това е осигуряването и поддържането на нормативните параметри на микроклимата в сградите, </w:t>
      </w:r>
      <w:r>
        <w:rPr>
          <w:rFonts w:ascii="Times New Roman" w:hAnsi="Times New Roman" w:cs="Times New Roman"/>
        </w:rPr>
        <w:t xml:space="preserve">тяхното </w:t>
      </w:r>
      <w:r w:rsidRPr="008A3335">
        <w:rPr>
          <w:rFonts w:ascii="Times New Roman" w:hAnsi="Times New Roman" w:cs="Times New Roman"/>
        </w:rPr>
        <w:t>топлосъхранени</w:t>
      </w:r>
      <w:r>
        <w:rPr>
          <w:rFonts w:ascii="Times New Roman" w:hAnsi="Times New Roman" w:cs="Times New Roman"/>
        </w:rPr>
        <w:t>е</w:t>
      </w:r>
      <w:r w:rsidRPr="008A3335">
        <w:rPr>
          <w:rFonts w:ascii="Times New Roman" w:hAnsi="Times New Roman" w:cs="Times New Roman"/>
        </w:rPr>
        <w:t xml:space="preserve"> и икономията на енергийни ресурси за нуждите на сградите, с минимални финансови разходи (§</w:t>
      </w:r>
      <w:r>
        <w:rPr>
          <w:rFonts w:ascii="Times New Roman" w:hAnsi="Times New Roman" w:cs="Times New Roman"/>
        </w:rPr>
        <w:t xml:space="preserve"> </w:t>
      </w:r>
      <w:r w:rsidRPr="008A3335">
        <w:rPr>
          <w:rFonts w:ascii="Times New Roman" w:hAnsi="Times New Roman" w:cs="Times New Roman"/>
        </w:rPr>
        <w:t>1, т.</w:t>
      </w:r>
      <w:r>
        <w:rPr>
          <w:rFonts w:ascii="Times New Roman" w:hAnsi="Times New Roman" w:cs="Times New Roman"/>
        </w:rPr>
        <w:t xml:space="preserve"> </w:t>
      </w:r>
      <w:r w:rsidRPr="008A3335">
        <w:rPr>
          <w:rFonts w:ascii="Times New Roman" w:hAnsi="Times New Roman" w:cs="Times New Roman"/>
        </w:rPr>
        <w:t>1а</w:t>
      </w:r>
      <w:r>
        <w:rPr>
          <w:rFonts w:ascii="Times New Roman" w:hAnsi="Times New Roman" w:cs="Times New Roman"/>
        </w:rPr>
        <w:t xml:space="preserve"> от допълнителните разпоредби</w:t>
      </w:r>
      <w:r w:rsidRPr="008A3335">
        <w:rPr>
          <w:rFonts w:ascii="Times New Roman" w:hAnsi="Times New Roman" w:cs="Times New Roman"/>
        </w:rPr>
        <w:t xml:space="preserve"> на ЗЕЕ).</w:t>
      </w:r>
    </w:p>
    <w:p w:rsidR="000B455D" w:rsidRPr="008A3335" w:rsidRDefault="000B455D" w:rsidP="000B455D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8A3335">
        <w:rPr>
          <w:rFonts w:ascii="Times New Roman" w:hAnsi="Times New Roman"/>
          <w:color w:val="000000"/>
          <w:sz w:val="24"/>
          <w:szCs w:val="24"/>
          <w:lang w:val="bg-BG" w:eastAsia="bg-BG"/>
        </w:rPr>
        <w:t>Анализът на възможностите за използване на енергия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та</w:t>
      </w:r>
      <w:r w:rsidRPr="008A333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от възобновяеми източници за потребностите на сградата от енергия е част от тази оценка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,</w:t>
      </w:r>
      <w:r w:rsidRPr="008A333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т.е. част от обследването за енергийна ефективност. Енергийното обследване трябва да докаже ефект на енергоспестяване при включване на възобновяем източник на енергия в енергийния баланс на сградата. В случай че ефектът е количествено доказан с инженерните </w:t>
      </w:r>
      <w:r w:rsidRPr="008A3335">
        <w:rPr>
          <w:rFonts w:ascii="Times New Roman" w:hAnsi="Times New Roman"/>
          <w:color w:val="000000"/>
          <w:sz w:val="24"/>
          <w:szCs w:val="24"/>
          <w:lang w:val="bg-BG" w:eastAsia="bg-BG"/>
        </w:rPr>
        <w:lastRenderedPageBreak/>
        <w:t>изчисления, а инвестицията за ВЕИ - икономически обоснована, мярката за генериране на енергия от възобновяем източник се комбинира с други мерки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,</w:t>
      </w:r>
      <w:r w:rsidRPr="008A333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като се оценява кой е икономически най-изгодният пакет, с който може да се достигне нормативното изискване за годишен разход на енергия.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При реконструкция, основно обновяване, основен ремонт или преустройство на съществуващи сгради, в т.ч. жилищни, въз основа на анализа, се въвеждат в експлоатация инсталации за производство на енергия от възобновяеми източници, 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когато това е технически възможно и икономически целесъобразно.</w:t>
      </w:r>
    </w:p>
    <w:p w:rsidR="000B455D" w:rsidRPr="00EF4852" w:rsidRDefault="000B455D" w:rsidP="000B455D">
      <w:pPr>
        <w:spacing w:after="12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>Техническите възможности включват:</w:t>
      </w:r>
    </w:p>
    <w:p w:rsidR="000B455D" w:rsidRPr="00EF4852" w:rsidRDefault="000B455D" w:rsidP="000B455D">
      <w:pPr>
        <w:spacing w:after="12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>1) централизирано отопление, използващо биомаса или геотермална енергия;</w:t>
      </w:r>
    </w:p>
    <w:p w:rsidR="000B455D" w:rsidRPr="00EF4852" w:rsidRDefault="000B455D" w:rsidP="000B455D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>2) индивидуални съоръжения за изгаряне на биомаса с ефективност на преобразуването най-малко 85 на сто при жилищни и търговски сгради и 70 на сто при промишлени сгради;</w:t>
      </w:r>
    </w:p>
    <w:p w:rsidR="000B455D" w:rsidRPr="00EF4852" w:rsidRDefault="000B455D" w:rsidP="000B455D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>3) слънчеви топлинни инсталации;</w:t>
      </w:r>
    </w:p>
    <w:p w:rsidR="000B455D" w:rsidRPr="00EF4852" w:rsidRDefault="000B455D" w:rsidP="000B455D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>4) термопомпи и повърхностни геотермални системи и др. приложими технологии.</w:t>
      </w:r>
    </w:p>
    <w:p w:rsidR="000B455D" w:rsidRPr="00EF4852" w:rsidRDefault="000B455D" w:rsidP="000B455D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Изискванията и последователността на стъпките при определяне на необходимите параметри и показатели по отношение на енергийната ефективност се прилагат при проектирането на нови, както и при реконструкции и обновяване на съществуващи сгради. Специфичното при съществуващите сгради е, че процесът стартира с възлагане на </w:t>
      </w:r>
      <w:r w:rsidRPr="00EF4852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обследване за енергийна ефективност</w:t>
      </w: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по реда на </w:t>
      </w:r>
      <w:r w:rsidR="00A97724" w:rsidRPr="00A97724">
        <w:rPr>
          <w:rFonts w:ascii="Times New Roman" w:hAnsi="Times New Roman"/>
          <w:i/>
          <w:iCs/>
          <w:sz w:val="24"/>
          <w:szCs w:val="24"/>
          <w:lang w:val="bg-BG" w:eastAsia="bg-BG"/>
        </w:rPr>
        <w:t>Наредба № Е-РД-04-1 от 22.01. 2015 г. за обследване за енергийна ефективност, сертифициране и оценка на енергийните спестявания на сгради</w:t>
      </w:r>
      <w:r w:rsidRPr="00A97724">
        <w:rPr>
          <w:rFonts w:ascii="Times New Roman" w:eastAsia="Times New Roman" w:hAnsi="Times New Roman"/>
          <w:sz w:val="24"/>
          <w:szCs w:val="24"/>
          <w:lang w:val="bg-BG" w:eastAsia="bg-BG"/>
        </w:rPr>
        <w:t>, издадена на основание ЗЕ</w:t>
      </w: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Е. </w:t>
      </w:r>
    </w:p>
    <w:p w:rsidR="000B455D" w:rsidRPr="00384976" w:rsidRDefault="000B455D" w:rsidP="000B455D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>Обследването за енергийна ефективност е процес, основан на систематичен метод за определяне и остойностяване на енергийните потоци и разходи в сградите, определящ обхвата на технико-икономическите параметри на мерките за повишаване на енергийната ефективност</w:t>
      </w:r>
      <w:r w:rsidRPr="004C1B00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. Извършва се от консултанти (юридически лица), с право да </w:t>
      </w:r>
      <w:r w:rsidRPr="0038497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извършват такава дейност и вписани по реда на ЗЕЕ в публични регистри в АУЕР. </w:t>
      </w:r>
    </w:p>
    <w:p w:rsidR="000B455D" w:rsidRPr="00EF4852" w:rsidRDefault="000B455D" w:rsidP="000B455D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384976">
        <w:rPr>
          <w:rFonts w:ascii="Times New Roman" w:eastAsia="Times New Roman" w:hAnsi="Times New Roman"/>
          <w:sz w:val="24"/>
          <w:szCs w:val="24"/>
          <w:lang w:val="bg-BG" w:eastAsia="bg-BG"/>
        </w:rPr>
        <w:t>За да се гарантира осъществяването на правилна нормативна връзка между ЗЕЕ и ЗУТ, съответно правилна взаимовръзка между действията на отделните участници в процеса по обновяване на сградите, в техническите спецификации за провеждане и възлагане на обществени поръчки за проектиране и строителство следва да бъдат заложени именно техническите параметри от енергийното обследване, с които е изчислен енергоспестяващият и екологичен ефект от прилагане на всяка мярка от предложения като разходно най-ефективен пакет.</w:t>
      </w:r>
    </w:p>
    <w:p w:rsidR="000B455D" w:rsidRPr="00EC21D8" w:rsidRDefault="000B455D" w:rsidP="000B455D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519D1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„Програми за повишаване на енергийната ефективност“ са дейности и мерки, насочени към групите крайни потребители на енергия, които водят до проверимо, измеримо или оценимо повишаване на енергийната ефективност. Означава, че параметрите за енергоспестяване, заложени в обследването за енергийна ефективност, по същество са и „индикатори за отчитане на постигнатите резултати” от програмата, които подлежат на последваща проверка и мониторинг. </w:t>
      </w:r>
    </w:p>
    <w:p w:rsidR="000B455D" w:rsidRPr="00F069ED" w:rsidRDefault="000B455D" w:rsidP="000B455D">
      <w:pPr>
        <w:pStyle w:val="ListParagraph"/>
        <w:numPr>
          <w:ilvl w:val="0"/>
          <w:numId w:val="9"/>
        </w:numPr>
        <w:spacing w:after="120"/>
        <w:jc w:val="both"/>
        <w:rPr>
          <w:b/>
        </w:rPr>
      </w:pPr>
      <w:r w:rsidRPr="00F069ED">
        <w:rPr>
          <w:b/>
        </w:rPr>
        <w:t>Специфични технически изисквания към топлофизичните характеристики на строителните продукти за постигане на енергоспестяващия ефект в сградите.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За намаляване на разхода на енергия и подобряване на енергийните характеристики на съответната сграда по националната програма, следва да се предвиждат топлоизолационни продукти, чиито технически характеристики съответстват на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lastRenderedPageBreak/>
        <w:t>нормативните изисквания за енергийна ефективност в сградите. Връзката между изискването за икономия на енергия и съответните продуктови области, повлияни от това изискване е направена в табл. 1:</w:t>
      </w:r>
    </w:p>
    <w:tbl>
      <w:tblPr>
        <w:tblpPr w:leftFromText="141" w:rightFromText="141" w:vertAnchor="text" w:horzAnchor="margin" w:tblpY="268"/>
        <w:tblW w:w="5000" w:type="pct"/>
        <w:tblCellSpacing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345"/>
        <w:gridCol w:w="3075"/>
        <w:gridCol w:w="4941"/>
      </w:tblGrid>
      <w:tr w:rsidR="000B455D" w:rsidRPr="00EF4852" w:rsidTr="00974D74">
        <w:trPr>
          <w:trHeight w:val="547"/>
          <w:tblCellSpacing w:w="28" w:type="dxa"/>
        </w:trPr>
        <w:tc>
          <w:tcPr>
            <w:tcW w:w="579" w:type="pct"/>
            <w:gridSpan w:val="2"/>
            <w:shd w:val="clear" w:color="auto" w:fill="92D050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>Таблица 1</w:t>
            </w:r>
          </w:p>
        </w:tc>
        <w:tc>
          <w:tcPr>
            <w:tcW w:w="4335" w:type="pct"/>
            <w:gridSpan w:val="2"/>
            <w:shd w:val="clear" w:color="auto" w:fill="92D050"/>
            <w:vAlign w:val="center"/>
          </w:tcPr>
          <w:p w:rsidR="000B455D" w:rsidRPr="00EF4852" w:rsidRDefault="000B455D" w:rsidP="00974D74">
            <w:pPr>
              <w:spacing w:after="120" w:line="240" w:lineRule="auto"/>
              <w:ind w:left="57" w:right="28"/>
              <w:jc w:val="both"/>
              <w:rPr>
                <w:rFonts w:ascii="Times New Roman" w:eastAsia="Arial" w:hAnsi="Times New Roman"/>
                <w:b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Arial" w:hAnsi="Times New Roman"/>
                <w:b/>
                <w:sz w:val="20"/>
                <w:szCs w:val="20"/>
                <w:lang w:val="bg-BG" w:eastAsia="bg-BG"/>
              </w:rPr>
              <w:t>Съответствие на продуктовите области с показателите за разход на енергия, регламентирани в националното законодателство по енергийна ефективност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943" w:type="pct"/>
            <w:gridSpan w:val="4"/>
            <w:shd w:val="clear" w:color="auto" w:fill="92D050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  <w:t>А. Продуктови области, които са обхванати от Регламент (ЕС) № 305/2011 г.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92D050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Код на област*</w:t>
            </w:r>
          </w:p>
        </w:tc>
        <w:tc>
          <w:tcPr>
            <w:tcW w:w="1833" w:type="pct"/>
            <w:gridSpan w:val="2"/>
            <w:shd w:val="clear" w:color="auto" w:fill="92D050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  <w:t>Продуктова област</w:t>
            </w:r>
          </w:p>
        </w:tc>
        <w:tc>
          <w:tcPr>
            <w:tcW w:w="2634" w:type="pct"/>
            <w:shd w:val="clear" w:color="auto" w:fill="92D050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  <w:t>Връзка с показатели за разход на енергия от наредбата за енергийните характеристики на сградите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Врати, прозорци, капаци, врати за промишлени и търговски сгради и за гаражи и свързаният с тях обков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прозорците (W/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топлопреминаване към околната среда (kW)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инфилтрация на външен въздух (kW)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4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Продукти за топлоизолация. Комбинирани изолационни комплекти/системи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външните стени (W/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топлопреминаване към околната среда (kW)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14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Дървесни плочи (панели) и елементи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външните стени (W/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17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Зидария и свързани с нея продукти. блокове за зидария, строителни разтвори, стенни връзки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външните стени (W/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топлопреминаване към околната среда (kW)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22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Покривни покрития, горно осветление, покривни прозорци и спомагателни продукти, покривни комплекти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прозорците (W/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K);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покрива (W/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инфилтрация на външен въздух (kW)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25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Строителни лепила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външните стени (W/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топлопреминаване към околната среда (kW)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27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Устройства за отопление  (отоплителни тела от всякакъв тип като елементи от система)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- коефициент на полезно действие на преноса на топлина от източника до отоплявания и/ или охлаждания обем на сградата (%);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- коефициент на полезно действие на генератора на топлина и/ или студ (%);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34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Строителни комплекти, компоненти, предварително изготвени елементи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 m2);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943" w:type="pct"/>
            <w:gridSpan w:val="4"/>
            <w:shd w:val="clear" w:color="auto" w:fill="92D050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  <w:t>Б.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 xml:space="preserve"> </w:t>
            </w:r>
            <w:r w:rsidRPr="008A3335">
              <w:rPr>
                <w:rFonts w:ascii="Times New Roman" w:hAnsi="Times New Roman"/>
                <w:b/>
                <w:color w:val="000000"/>
                <w:sz w:val="20"/>
                <w:szCs w:val="20"/>
                <w:lang w:val="bg-BG"/>
              </w:rPr>
              <w:t>Продуктови области, които не са обхванати от Регламент (ЕС) № 305/2011 – продукти, потребяващи енергия, за които в делегирани регламенти на Е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g-BG"/>
              </w:rPr>
              <w:t>вропейската комисия</w:t>
            </w:r>
            <w:r w:rsidRPr="008A3335">
              <w:rPr>
                <w:rFonts w:ascii="Times New Roman" w:hAnsi="Times New Roman"/>
                <w:b/>
                <w:color w:val="000000"/>
                <w:sz w:val="20"/>
                <w:szCs w:val="20"/>
                <w:lang w:val="bg-BG"/>
              </w:rPr>
              <w:t xml:space="preserve"> са определени </w:t>
            </w:r>
            <w:r w:rsidRPr="008A3335">
              <w:rPr>
                <w:rFonts w:ascii="Times New Roman" w:hAnsi="Times New Roman"/>
                <w:b/>
                <w:color w:val="000000"/>
                <w:sz w:val="20"/>
                <w:szCs w:val="20"/>
                <w:lang w:val="bg-BG"/>
              </w:rPr>
              <w:lastRenderedPageBreak/>
              <w:t>изисквания във връзка с изпълнението на Директива 2010/30/ЕС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lastRenderedPageBreak/>
              <w:t>1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Лампи за осветление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общи специфични топлинни загуби/ притоци (W/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3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Автономни климатизатори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трансформация на генератора на топлина и/ или студ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отопление (kW)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охлаждане (kW)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3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Водогрейни котли за отопление и БГВ (вкл. изгарящи пелети и дърва)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отопление (kW);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4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Слънчеви колектори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гореща вода (kW)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5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Абонатни станции (комплекти)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отопление (kW)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БГВ (kW)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6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Водоохлаждащи агрегати и въздухоохладители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7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Термопомпи (комплекти)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9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Рекуператори на топлина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</w:tbl>
    <w:p w:rsidR="000B455D" w:rsidRPr="00EF4852" w:rsidRDefault="000B455D" w:rsidP="000B455D">
      <w:pPr>
        <w:spacing w:after="12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0B455D" w:rsidRPr="00F069ED" w:rsidRDefault="000B455D" w:rsidP="000B455D">
      <w:pPr>
        <w:pStyle w:val="ListParagraph"/>
        <w:numPr>
          <w:ilvl w:val="0"/>
          <w:numId w:val="9"/>
        </w:numPr>
        <w:spacing w:after="120"/>
        <w:jc w:val="both"/>
        <w:rPr>
          <w:b/>
          <w:bCs/>
        </w:rPr>
      </w:pPr>
      <w:r w:rsidRPr="00F069ED">
        <w:rPr>
          <w:b/>
          <w:bCs/>
        </w:rPr>
        <w:t xml:space="preserve">Продуктови области, обхванати от Регламент </w:t>
      </w:r>
      <w:r w:rsidRPr="00F069ED">
        <w:rPr>
          <w:rFonts w:eastAsiaTheme="minorHAnsi"/>
          <w:b/>
        </w:rPr>
        <w:t>(ЕС) № 305/2011 г.</w:t>
      </w:r>
    </w:p>
    <w:tbl>
      <w:tblPr>
        <w:tblpPr w:leftFromText="141" w:rightFromText="141" w:vertAnchor="text" w:horzAnchor="margin" w:tblpY="268"/>
        <w:tblW w:w="5236" w:type="pct"/>
        <w:tblCellSpacing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717"/>
        <w:gridCol w:w="1124"/>
        <w:gridCol w:w="1714"/>
        <w:gridCol w:w="5411"/>
      </w:tblGrid>
      <w:tr w:rsidR="000B455D" w:rsidRPr="00EF4852" w:rsidTr="00974D74">
        <w:trPr>
          <w:trHeight w:val="547"/>
          <w:tblCellSpacing w:w="28" w:type="dxa"/>
        </w:trPr>
        <w:tc>
          <w:tcPr>
            <w:tcW w:w="763" w:type="pct"/>
            <w:gridSpan w:val="2"/>
            <w:shd w:val="clear" w:color="auto" w:fill="92D050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>Таблица 2</w:t>
            </w:r>
          </w:p>
        </w:tc>
        <w:tc>
          <w:tcPr>
            <w:tcW w:w="4153" w:type="pct"/>
            <w:gridSpan w:val="3"/>
            <w:shd w:val="clear" w:color="auto" w:fill="92D050"/>
          </w:tcPr>
          <w:p w:rsidR="000B455D" w:rsidRPr="00EF4852" w:rsidRDefault="000B455D" w:rsidP="00974D74">
            <w:pPr>
              <w:spacing w:after="120" w:line="240" w:lineRule="auto"/>
              <w:ind w:left="57" w:right="28"/>
              <w:jc w:val="center"/>
              <w:rPr>
                <w:rFonts w:ascii="Times New Roman" w:eastAsia="Arial" w:hAnsi="Times New Roman"/>
                <w:b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Arial" w:hAnsi="Times New Roman"/>
                <w:b/>
                <w:sz w:val="20"/>
                <w:szCs w:val="20"/>
                <w:lang w:val="bg-BG" w:eastAsia="bg-BG"/>
              </w:rPr>
              <w:t>Технически спецификации в конкретната продуктова област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362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N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o</w:t>
            </w:r>
          </w:p>
        </w:tc>
        <w:tc>
          <w:tcPr>
            <w:tcW w:w="1017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Продуктова област</w:t>
            </w:r>
          </w:p>
        </w:tc>
        <w:tc>
          <w:tcPr>
            <w:tcW w:w="670" w:type="pct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Продукти</w:t>
            </w:r>
          </w:p>
        </w:tc>
        <w:tc>
          <w:tcPr>
            <w:tcW w:w="2811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Стандарти в конкретната тематична област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362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1</w:t>
            </w:r>
          </w:p>
        </w:tc>
        <w:tc>
          <w:tcPr>
            <w:tcW w:w="1017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Врати, прозорци, капаци, врати за промишлени и търговски сгради и за гаражи и свързаният с тях обков</w:t>
            </w:r>
          </w:p>
        </w:tc>
        <w:tc>
          <w:tcPr>
            <w:tcW w:w="670" w:type="pct"/>
          </w:tcPr>
          <w:p w:rsidR="000B455D" w:rsidRPr="00EF4852" w:rsidRDefault="000B455D" w:rsidP="00974D74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  <w:p w:rsidR="000B455D" w:rsidRPr="00EF4852" w:rsidRDefault="000B455D" w:rsidP="00974D74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  <w:p w:rsidR="000B455D" w:rsidRPr="00EF4852" w:rsidRDefault="000B455D" w:rsidP="00974D74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  <w:p w:rsidR="000B455D" w:rsidRPr="00EF4852" w:rsidRDefault="000B455D" w:rsidP="00974D74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6" w:name="_Toc409108753"/>
            <w:bookmarkStart w:id="7" w:name="_Toc409109030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Сглобяеми</w:t>
            </w:r>
            <w:bookmarkEnd w:id="6"/>
            <w:bookmarkEnd w:id="7"/>
          </w:p>
          <w:p w:rsidR="000B455D" w:rsidRPr="00EF4852" w:rsidRDefault="000B455D" w:rsidP="00974D74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8" w:name="_Toc409108754"/>
            <w:bookmarkStart w:id="9" w:name="_Toc409109031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готови за</w:t>
            </w:r>
            <w:bookmarkEnd w:id="8"/>
            <w:bookmarkEnd w:id="9"/>
          </w:p>
          <w:p w:rsidR="000B455D" w:rsidRPr="00EF4852" w:rsidRDefault="000B455D" w:rsidP="00974D74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10" w:name="_Toc409108755"/>
            <w:bookmarkStart w:id="11" w:name="_Toc409109032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монтаж</w:t>
            </w:r>
            <w:bookmarkEnd w:id="10"/>
            <w:bookmarkEnd w:id="11"/>
          </w:p>
          <w:p w:rsidR="000B455D" w:rsidRPr="00EF4852" w:rsidRDefault="000B455D" w:rsidP="00974D74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12" w:name="_Toc409108756"/>
            <w:bookmarkStart w:id="13" w:name="_Toc409109033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lastRenderedPageBreak/>
              <w:t>елементи</w:t>
            </w:r>
            <w:bookmarkEnd w:id="12"/>
            <w:bookmarkEnd w:id="13"/>
          </w:p>
        </w:tc>
        <w:tc>
          <w:tcPr>
            <w:tcW w:w="2811" w:type="pct"/>
            <w:shd w:val="clear" w:color="auto" w:fill="auto"/>
            <w:vAlign w:val="center"/>
          </w:tcPr>
          <w:p w:rsidR="000B455D" w:rsidRPr="00EF4852" w:rsidRDefault="000B455D" w:rsidP="00974D74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14" w:name="_Toc409108757"/>
            <w:bookmarkStart w:id="15" w:name="_Toc409109034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lastRenderedPageBreak/>
              <w:t>БДС EN 13241-1:2003+A1 - Врати за промишлени и търговски сгради и за гаражи</w:t>
            </w:r>
            <w:bookmarkEnd w:id="14"/>
            <w:bookmarkEnd w:id="15"/>
          </w:p>
          <w:p w:rsidR="000B455D" w:rsidRPr="00EF4852" w:rsidRDefault="000B455D" w:rsidP="00974D74">
            <w:pPr>
              <w:spacing w:after="120" w:line="240" w:lineRule="auto"/>
              <w:ind w:left="-23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 xml:space="preserve">стандарт за продукт </w:t>
            </w:r>
          </w:p>
          <w:p w:rsidR="000B455D" w:rsidRPr="00EF4852" w:rsidRDefault="000B455D" w:rsidP="00974D74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16" w:name="_Toc409108758"/>
            <w:bookmarkStart w:id="17" w:name="_Toc409109035"/>
            <w:r w:rsidRPr="00EF4852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>БДС EN 14351-1/NА - Врати и прозорци</w:t>
            </w:r>
            <w:bookmarkEnd w:id="16"/>
            <w:bookmarkEnd w:id="17"/>
            <w:r w:rsidRPr="00EF4852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 xml:space="preserve"> </w:t>
            </w:r>
          </w:p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стандарт за продукт, технически характеристики </w:t>
            </w:r>
          </w:p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Част 1: Прозорци и външни врати без характеристики за устойчивост на огън и/или пропускане на дим</w:t>
            </w:r>
          </w:p>
          <w:p w:rsidR="000B455D" w:rsidRPr="00EF4852" w:rsidRDefault="000B455D" w:rsidP="00974D74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</w:pPr>
            <w:bookmarkStart w:id="18" w:name="_Toc409108759"/>
            <w:bookmarkStart w:id="19" w:name="_Toc409109036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lastRenderedPageBreak/>
              <w:t>БДС</w:t>
            </w:r>
            <w:r w:rsidRPr="00EF4852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 xml:space="preserve">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ISO 18292 - </w:t>
            </w:r>
            <w:r w:rsidRPr="00EF4852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>Енергийни характеристики на остъклени системи за жилищни сгради</w:t>
            </w:r>
            <w:bookmarkEnd w:id="18"/>
            <w:bookmarkEnd w:id="19"/>
            <w:r w:rsidRPr="00EF4852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 xml:space="preserve"> </w:t>
            </w:r>
          </w:p>
          <w:p w:rsidR="000B455D" w:rsidRPr="00EF4852" w:rsidRDefault="000B455D" w:rsidP="00974D74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362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lastRenderedPageBreak/>
              <w:t>2</w:t>
            </w:r>
          </w:p>
        </w:tc>
        <w:tc>
          <w:tcPr>
            <w:tcW w:w="1017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Продукти за топлоизолация. Комбинирани изолационни комплекти/системи</w:t>
            </w:r>
          </w:p>
        </w:tc>
        <w:tc>
          <w:tcPr>
            <w:tcW w:w="670" w:type="pct"/>
          </w:tcPr>
          <w:p w:rsidR="000B455D" w:rsidRPr="00EF4852" w:rsidRDefault="000B455D" w:rsidP="00974D74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Полистирени</w:t>
            </w:r>
          </w:p>
          <w:p w:rsidR="000B455D" w:rsidRPr="00EF4852" w:rsidRDefault="000B455D" w:rsidP="00974D74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Вати</w:t>
            </w:r>
          </w:p>
          <w:p w:rsidR="000B455D" w:rsidRPr="00EF4852" w:rsidRDefault="000B455D" w:rsidP="00974D74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 xml:space="preserve">Дървесни </w:t>
            </w:r>
          </w:p>
          <w:p w:rsidR="000B455D" w:rsidRPr="00EF4852" w:rsidRDefault="000B455D" w:rsidP="00974D74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Влакна</w:t>
            </w:r>
          </w:p>
          <w:p w:rsidR="000B455D" w:rsidRPr="00EF4852" w:rsidRDefault="000B455D" w:rsidP="00974D74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Минерални</w:t>
            </w:r>
          </w:p>
          <w:p w:rsidR="000B455D" w:rsidRPr="00EF4852" w:rsidRDefault="000B455D" w:rsidP="00974D74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топлоизолационни плочи</w:t>
            </w:r>
          </w:p>
        </w:tc>
        <w:tc>
          <w:tcPr>
            <w:tcW w:w="2811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ind w:right="33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БДС EN 13163 - Топлоизолационни продукти за сгради продукти от експандиран полистирен (EPS), произведени в заводски условия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 xml:space="preserve">БДС EN 13164 - 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 w:eastAsia="bg-BG"/>
              </w:rPr>
              <w:t xml:space="preserve">Топлоизолационни продукти за сгради </w:t>
            </w:r>
            <w:r w:rsidRPr="00EF4852">
              <w:rPr>
                <w:rFonts w:ascii="Times New Roman" w:eastAsiaTheme="minorHAnsi" w:hAnsi="Times New Roman"/>
                <w:noProof/>
                <w:sz w:val="20"/>
                <w:szCs w:val="20"/>
                <w:lang w:val="bg-BG"/>
              </w:rPr>
              <w:t xml:space="preserve">продукти от екструдиран полистирен (XPS), произведени в 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заводски условия</w:t>
            </w:r>
          </w:p>
          <w:p w:rsidR="000B455D" w:rsidRPr="00EF4852" w:rsidRDefault="000B455D" w:rsidP="00974D74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БДС EN  13166 - Топлоизолационни продукти за сгради продукти от твърд пенофенопласт (PF), произведени в заводски условия</w:t>
            </w:r>
          </w:p>
          <w:p w:rsidR="000B455D" w:rsidRPr="00EF4852" w:rsidRDefault="000B455D" w:rsidP="00974D74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20" w:name="_Toc409108760"/>
            <w:bookmarkStart w:id="21" w:name="_Toc409109037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13167 - Топлоизолационни продукти за сгради продукти от пеностъкло (cg), произведени в заводски условия</w:t>
            </w:r>
            <w:bookmarkEnd w:id="20"/>
            <w:bookmarkEnd w:id="21"/>
          </w:p>
          <w:p w:rsidR="000B455D" w:rsidRPr="00EF4852" w:rsidRDefault="000B455D" w:rsidP="00974D74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22" w:name="_Toc409108761"/>
            <w:bookmarkStart w:id="23" w:name="_Toc409109038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13168 – Топлоизолационни продукти на сгради Продукти от дървесна вата (WW) произведени в заводски условия</w:t>
            </w:r>
            <w:bookmarkEnd w:id="22"/>
            <w:bookmarkEnd w:id="23"/>
          </w:p>
          <w:p w:rsidR="000B455D" w:rsidRPr="00EF4852" w:rsidRDefault="000B455D" w:rsidP="00974D74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24" w:name="_Toc409108762"/>
            <w:bookmarkStart w:id="25" w:name="_Toc409109039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13169 -Топлоизолационни продукти за сгради продукти от експандиран перлит (EPB), произведени в заводски условия</w:t>
            </w:r>
            <w:bookmarkEnd w:id="24"/>
            <w:bookmarkEnd w:id="25"/>
          </w:p>
          <w:p w:rsidR="000B455D" w:rsidRPr="00EF4852" w:rsidRDefault="000B455D" w:rsidP="00974D74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26" w:name="_Toc409108763"/>
            <w:bookmarkStart w:id="27" w:name="_Toc409109040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</w:t>
            </w:r>
            <w:r w:rsidRPr="00EF4852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 xml:space="preserve">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EN 13170 - Топлоизолационни продукти за сгради продукти от експандиран корк (ICB), произведени в заводски условия</w:t>
            </w:r>
            <w:bookmarkEnd w:id="26"/>
            <w:bookmarkEnd w:id="27"/>
          </w:p>
          <w:p w:rsidR="000B455D" w:rsidRPr="00EF4852" w:rsidRDefault="000B455D" w:rsidP="00974D74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</w:pPr>
            <w:bookmarkStart w:id="28" w:name="_Toc409108764"/>
            <w:bookmarkStart w:id="29" w:name="_Toc409109041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</w:t>
            </w:r>
            <w:r w:rsidRPr="00EF4852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 xml:space="preserve">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EN 13171 - Топлоизолационни продукти за сгради продукти от дървесни влакна (WF), произведени в заводски условия</w:t>
            </w:r>
            <w:bookmarkEnd w:id="28"/>
            <w:bookmarkEnd w:id="29"/>
          </w:p>
          <w:p w:rsidR="000B455D" w:rsidRPr="00EF4852" w:rsidRDefault="000B455D" w:rsidP="00974D74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</w:pPr>
            <w:bookmarkStart w:id="30" w:name="_Toc409108765"/>
            <w:bookmarkStart w:id="31" w:name="_Toc409109042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</w:t>
            </w:r>
            <w:r w:rsidRPr="00EF4852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 xml:space="preserve">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EN 13162 - Топлоизолационни продукти за сгради. продукти от минерална вата (MW), произведени в заводски условия.</w:t>
            </w:r>
            <w:bookmarkEnd w:id="30"/>
            <w:bookmarkEnd w:id="31"/>
            <w:r w:rsidRPr="00EF4852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 xml:space="preserve"> </w:t>
            </w:r>
          </w:p>
          <w:p w:rsidR="000B455D" w:rsidRPr="00EF4852" w:rsidRDefault="000B455D" w:rsidP="00974D74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32" w:name="_Toc409108766"/>
            <w:bookmarkStart w:id="33" w:name="_Toc409109043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ISO 13788 -Хигротермални характеристики на строителни компоненти и строителни елементи. Температура на вътрешната повърхност за предотвратяване на критична влажност на повърхността и конденз в пукнатини. Изчислителни методи (ISO/DIS 13788-2011)</w:t>
            </w:r>
            <w:bookmarkEnd w:id="32"/>
            <w:bookmarkEnd w:id="33"/>
          </w:p>
          <w:p w:rsidR="000B455D" w:rsidRPr="00EF4852" w:rsidRDefault="000B455D" w:rsidP="00974D74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34" w:name="_Toc409108767"/>
            <w:bookmarkStart w:id="35" w:name="_Toc409109044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ISO 14683 – Топлинни мостове в строителните конструкции. Коефициент на линейно топлопреминаване. Опростени методи и и ориентировъчни изчислителни стойности</w:t>
            </w:r>
          </w:p>
          <w:p w:rsidR="000B455D" w:rsidRPr="00EF4852" w:rsidRDefault="000B455D" w:rsidP="00974D74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ЕТО 05-093</w:t>
            </w:r>
            <w:r w:rsidRPr="00EF4852">
              <w:rPr>
                <w:lang w:val="bg-BG"/>
              </w:rPr>
              <w:t xml:space="preserve">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Минерални топлоизолационни плочи</w:t>
            </w:r>
            <w:bookmarkEnd w:id="34"/>
            <w:bookmarkEnd w:id="35"/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362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3</w:t>
            </w:r>
          </w:p>
        </w:tc>
        <w:tc>
          <w:tcPr>
            <w:tcW w:w="1017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Зидария и свързани с нея продукти. блокове за зидария, строителни разтвори, стенни връзки</w:t>
            </w:r>
          </w:p>
        </w:tc>
        <w:tc>
          <w:tcPr>
            <w:tcW w:w="670" w:type="pct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  <w:t>Тухли</w:t>
            </w:r>
          </w:p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  <w:t>Камък</w:t>
            </w:r>
          </w:p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  <w:lastRenderedPageBreak/>
              <w:t>Газобетон</w:t>
            </w:r>
          </w:p>
        </w:tc>
        <w:tc>
          <w:tcPr>
            <w:tcW w:w="2811" w:type="pct"/>
            <w:shd w:val="clear" w:color="auto" w:fill="auto"/>
            <w:vAlign w:val="center"/>
          </w:tcPr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lastRenderedPageBreak/>
              <w:t>БДС EN 771-1 +А1 – Изисквания за блокове за зидария</w:t>
            </w:r>
          </w:p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БДС EN 771-1/NА - Изисквания за блокове за зидария Част 1: Глинени блокове за зидария </w:t>
            </w:r>
          </w:p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Национално приложение (NА)</w:t>
            </w:r>
          </w:p>
          <w:p w:rsidR="000B455D" w:rsidRPr="00EF4852" w:rsidRDefault="000B455D" w:rsidP="00974D74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</w:pPr>
            <w:bookmarkStart w:id="36" w:name="_Toc409108768"/>
            <w:bookmarkStart w:id="37" w:name="_Toc409109045"/>
            <w:r w:rsidRPr="00EF4852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>БДС EN 771-2 - Изисквания за блокове за зидария Част 2: Калциево-силикатни блокове за зидария</w:t>
            </w:r>
            <w:bookmarkEnd w:id="36"/>
            <w:bookmarkEnd w:id="37"/>
          </w:p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БДС EN 771-2/NА - Изисквания за блокове за зидария Част 2: Калциево-силикатни блокове за зидария</w:t>
            </w:r>
          </w:p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БДС EN 771-4 +А1 - Изисквания за блокове за зидария Част 4: Блокове за зидария от автоклавен газобетон</w:t>
            </w:r>
          </w:p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lastRenderedPageBreak/>
              <w:t>БДС EN 771-4/NА - Изисквания за блокове за зидария Част 4: Блокове за зидария от автоклавен газобетон</w:t>
            </w:r>
          </w:p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БДС EN 771-5/NА - Изисквания за блокове за зидария </w:t>
            </w:r>
          </w:p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Част 5: Блокове за зидария от изкуствен камък</w:t>
            </w:r>
          </w:p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БДС EN 771-6/NА - Изисквания за блокове за зидария </w:t>
            </w:r>
          </w:p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Част 6: Блокове за зидария от естествен камък</w:t>
            </w:r>
          </w:p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БДС EN 1745 – Зидария и продукти за зидария Методи за определяне на изчислителни топлинни стойности</w:t>
            </w:r>
          </w:p>
        </w:tc>
      </w:tr>
      <w:tr w:rsidR="000B455D" w:rsidRPr="00EF4852" w:rsidTr="00974D74">
        <w:trPr>
          <w:trHeight w:val="105"/>
          <w:tblCellSpacing w:w="28" w:type="dxa"/>
        </w:trPr>
        <w:tc>
          <w:tcPr>
            <w:tcW w:w="362" w:type="pct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lastRenderedPageBreak/>
              <w:t>4</w:t>
            </w:r>
          </w:p>
        </w:tc>
        <w:tc>
          <w:tcPr>
            <w:tcW w:w="1017" w:type="pct"/>
            <w:gridSpan w:val="2"/>
            <w:shd w:val="clear" w:color="auto" w:fill="auto"/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Покривни покрития, горно осветление, покривни прозорци и спомагателни продукти, покривни комплекти</w:t>
            </w:r>
          </w:p>
        </w:tc>
        <w:tc>
          <w:tcPr>
            <w:tcW w:w="670" w:type="pct"/>
          </w:tcPr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Стъкло и </w:t>
            </w:r>
          </w:p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Рамки от</w:t>
            </w:r>
          </w:p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PVC или </w:t>
            </w:r>
          </w:p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Алуминий</w:t>
            </w:r>
          </w:p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или дърво</w:t>
            </w:r>
          </w:p>
        </w:tc>
        <w:tc>
          <w:tcPr>
            <w:tcW w:w="2811" w:type="pct"/>
            <w:shd w:val="clear" w:color="auto" w:fill="auto"/>
            <w:vAlign w:val="center"/>
          </w:tcPr>
          <w:p w:rsidR="000B455D" w:rsidRPr="00EF4852" w:rsidRDefault="000B455D" w:rsidP="00974D7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БДС EN 1304/NA - Глинени покривни керемиди и приспособления</w:t>
            </w:r>
          </w:p>
          <w:p w:rsidR="000B455D" w:rsidRPr="00EF4852" w:rsidRDefault="000B455D" w:rsidP="00974D74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</w:tc>
      </w:tr>
    </w:tbl>
    <w:tbl>
      <w:tblPr>
        <w:tblW w:w="9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5020"/>
        <w:gridCol w:w="4290"/>
      </w:tblGrid>
      <w:tr w:rsidR="000B455D" w:rsidRPr="00EF4852" w:rsidTr="00974D74">
        <w:trPr>
          <w:trHeight w:val="300"/>
          <w:jc w:val="center"/>
        </w:trPr>
        <w:tc>
          <w:tcPr>
            <w:tcW w:w="989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455D" w:rsidRPr="00EF4852" w:rsidRDefault="000B455D" w:rsidP="00974D74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0B455D" w:rsidRPr="00EF4852" w:rsidRDefault="000B455D" w:rsidP="00974D74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dstrike/>
                <w:sz w:val="24"/>
                <w:szCs w:val="24"/>
                <w:lang w:val="bg-BG" w:eastAsia="bg-BG"/>
              </w:rPr>
            </w:pPr>
          </w:p>
        </w:tc>
      </w:tr>
      <w:tr w:rsidR="000B455D" w:rsidRPr="00EF4852" w:rsidTr="00974D74">
        <w:trPr>
          <w:trHeight w:val="930"/>
          <w:jc w:val="center"/>
        </w:trPr>
        <w:tc>
          <w:tcPr>
            <w:tcW w:w="989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val="bg-BG"/>
              </w:rPr>
              <w:t xml:space="preserve">Референтни стойности на коефициента на топлопреминаване за целите на Националната програма през сградните ограждащи конструкции и елементи на сгради, които се използват за сравнение </w:t>
            </w:r>
            <w:r w:rsidRPr="00EF4852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при изчисляване на годишния разход на енергия в жилищните сгради</w:t>
            </w:r>
          </w:p>
        </w:tc>
      </w:tr>
      <w:tr w:rsidR="000B455D" w:rsidRPr="00EF4852" w:rsidTr="00974D74">
        <w:trPr>
          <w:trHeight w:val="390"/>
          <w:jc w:val="center"/>
        </w:trPr>
        <w:tc>
          <w:tcPr>
            <w:tcW w:w="58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№ по ред</w:t>
            </w:r>
          </w:p>
        </w:tc>
        <w:tc>
          <w:tcPr>
            <w:tcW w:w="502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Видове ограждащи конструкции и елементи </w:t>
            </w:r>
          </w:p>
        </w:tc>
        <w:tc>
          <w:tcPr>
            <w:tcW w:w="42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>U, W/m</w:t>
            </w:r>
            <w:r w:rsidRPr="00EF4852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  <w:lang w:val="bg-BG" w:eastAsia="bg-BG"/>
              </w:rPr>
              <w:t>2</w:t>
            </w:r>
            <w:r w:rsidRPr="00EF4852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>K</w:t>
            </w:r>
          </w:p>
        </w:tc>
      </w:tr>
      <w:tr w:rsidR="000B455D" w:rsidRPr="00EF4852" w:rsidTr="00974D74">
        <w:trPr>
          <w:trHeight w:val="1605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за сгради със среднообемна вътрешна температура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br/>
              <w:t>θ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i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 ≥ 15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0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</w:t>
            </w:r>
          </w:p>
        </w:tc>
      </w:tr>
      <w:tr w:rsidR="000B455D" w:rsidRPr="00EF4852" w:rsidTr="00974D74">
        <w:trPr>
          <w:trHeight w:val="360"/>
          <w:jc w:val="center"/>
        </w:trPr>
        <w:tc>
          <w:tcPr>
            <w:tcW w:w="5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1.</w:t>
            </w:r>
          </w:p>
        </w:tc>
        <w:tc>
          <w:tcPr>
            <w:tcW w:w="5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Външни стени, граничещи с външен въздух </w:t>
            </w:r>
          </w:p>
        </w:tc>
        <w:tc>
          <w:tcPr>
            <w:tcW w:w="42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0,28</w:t>
            </w:r>
          </w:p>
        </w:tc>
      </w:tr>
      <w:tr w:rsidR="000B455D" w:rsidRPr="00EF4852" w:rsidTr="00974D74">
        <w:trPr>
          <w:trHeight w:val="157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2.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Стени на отопляемо пространство, граничещи с неотопляемо пространство, когато разликата между среднообемната температура на отопляемото и неотопляемото пространство е равна или по-голяма от 5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0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0,50</w:t>
            </w:r>
          </w:p>
        </w:tc>
      </w:tr>
      <w:tr w:rsidR="000B455D" w:rsidRPr="00EF4852" w:rsidTr="00974D74">
        <w:trPr>
          <w:trHeight w:val="61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3.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Външни стени на отопляем подземен етаж, граничещи със земята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0,60</w:t>
            </w:r>
          </w:p>
        </w:tc>
      </w:tr>
      <w:tr w:rsidR="000B455D" w:rsidRPr="00EF4852" w:rsidTr="00974D74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4.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Подова плоча над неотопляем подземен етаж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0,50</w:t>
            </w:r>
          </w:p>
        </w:tc>
      </w:tr>
      <w:tr w:rsidR="000B455D" w:rsidRPr="00EF4852" w:rsidTr="00974D74">
        <w:trPr>
          <w:trHeight w:val="61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Под на отопляемо пространство, директно граничещ със земята в сграда без подземен етаж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0,40</w:t>
            </w:r>
          </w:p>
        </w:tc>
      </w:tr>
      <w:tr w:rsidR="000B455D" w:rsidRPr="00EF4852" w:rsidTr="00974D74">
        <w:trPr>
          <w:trHeight w:val="58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6.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Под на отопляем подземен етаж, граничещ със земята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0,45</w:t>
            </w:r>
          </w:p>
        </w:tc>
      </w:tr>
      <w:tr w:rsidR="000B455D" w:rsidRPr="00EF4852" w:rsidTr="00974D74">
        <w:trPr>
          <w:trHeight w:val="870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Под на отопляемо пространство, граничещо с външен въздух, под над проходи или над други открити пространства, еркери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0,25</w:t>
            </w:r>
          </w:p>
        </w:tc>
      </w:tr>
      <w:tr w:rsidR="000B455D" w:rsidRPr="00EF4852" w:rsidTr="00974D74">
        <w:trPr>
          <w:trHeight w:val="94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Стена, таван или под, граничещи с външен въздух или със земята, при вградено площно отопление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0,40</w:t>
            </w:r>
          </w:p>
        </w:tc>
      </w:tr>
      <w:tr w:rsidR="000B455D" w:rsidRPr="00EF4852" w:rsidTr="00974D74">
        <w:trPr>
          <w:trHeight w:val="1440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lastRenderedPageBreak/>
              <w:t>9.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Плосък покрив без въздушен слой или с въздушен слой с дебелина δ ≤ 0,30 m; таван на наклонен или скатен покрив с отоплявано подпокривно пространство, предназначено за обитаване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0,25</w:t>
            </w:r>
          </w:p>
        </w:tc>
      </w:tr>
      <w:tr w:rsidR="000B455D" w:rsidRPr="00EF4852" w:rsidTr="00974D74">
        <w:trPr>
          <w:trHeight w:val="196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10.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Таванска плоча на неотопляем плосък покрив с въздушен слой с  дебелина 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br/>
              <w:t xml:space="preserve">δ &gt; 0,30 m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br/>
              <w:t xml:space="preserve">Таванска плоча на неотопляем, вентилиран или невентилиран наклонен/скатен покрив със или без вертикални ограждащи елементи в подпокривното пространство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0,30</w:t>
            </w:r>
          </w:p>
        </w:tc>
      </w:tr>
      <w:tr w:rsidR="000B455D" w:rsidRPr="00EF4852" w:rsidTr="00974D74">
        <w:trPr>
          <w:trHeight w:val="555"/>
          <w:jc w:val="center"/>
        </w:trPr>
        <w:tc>
          <w:tcPr>
            <w:tcW w:w="5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11.</w:t>
            </w:r>
          </w:p>
        </w:tc>
        <w:tc>
          <w:tcPr>
            <w:tcW w:w="5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Външна врата, плътна, граничеща с външен въздух</w:t>
            </w:r>
          </w:p>
        </w:tc>
        <w:tc>
          <w:tcPr>
            <w:tcW w:w="42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2,2</w:t>
            </w:r>
          </w:p>
        </w:tc>
      </w:tr>
      <w:tr w:rsidR="000B455D" w:rsidRPr="00EF4852" w:rsidTr="00974D74">
        <w:trPr>
          <w:trHeight w:val="540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12.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Врата, плътна, граничеща с неотопляемо пространство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3,5</w:t>
            </w:r>
          </w:p>
        </w:tc>
      </w:tr>
    </w:tbl>
    <w:p w:rsidR="000B455D" w:rsidRPr="00EF4852" w:rsidRDefault="000B455D" w:rsidP="000B455D">
      <w:pPr>
        <w:spacing w:after="120" w:line="240" w:lineRule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tbl>
      <w:tblPr>
        <w:tblW w:w="966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6280"/>
        <w:gridCol w:w="2891"/>
      </w:tblGrid>
      <w:tr w:rsidR="000B455D" w:rsidRPr="00EF4852" w:rsidTr="00974D74">
        <w:trPr>
          <w:trHeight w:val="315"/>
          <w:jc w:val="center"/>
        </w:trPr>
        <w:tc>
          <w:tcPr>
            <w:tcW w:w="966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0B455D" w:rsidRPr="00EF4852" w:rsidRDefault="000B455D" w:rsidP="00974D74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0B455D" w:rsidRPr="00EF4852" w:rsidTr="00974D74">
        <w:trPr>
          <w:trHeight w:val="960"/>
          <w:jc w:val="center"/>
        </w:trPr>
        <w:tc>
          <w:tcPr>
            <w:tcW w:w="96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Референтни стойности на коефициента на топлопреминаване за целите на Националната програма през прозрачни ограждащи конструкции (прозорци и врати) за  жилищни и нежилищни сгради, които се използват за сравнение при изчисляване на годишния разход на енергия в сградите</w:t>
            </w:r>
          </w:p>
        </w:tc>
      </w:tr>
      <w:tr w:rsidR="000B455D" w:rsidRPr="00EF4852" w:rsidTr="00974D74">
        <w:trPr>
          <w:trHeight w:val="1245"/>
          <w:jc w:val="center"/>
        </w:trPr>
        <w:tc>
          <w:tcPr>
            <w:tcW w:w="4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№ по ред</w:t>
            </w:r>
          </w:p>
        </w:tc>
        <w:tc>
          <w:tcPr>
            <w:tcW w:w="62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Вид на сглобения елемент - завършена прозоречна система</w:t>
            </w:r>
          </w:p>
        </w:tc>
        <w:tc>
          <w:tcPr>
            <w:tcW w:w="28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U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w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, W/m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2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K</w:t>
            </w:r>
          </w:p>
        </w:tc>
      </w:tr>
      <w:tr w:rsidR="000B455D" w:rsidRPr="00EF4852" w:rsidTr="00974D74">
        <w:trPr>
          <w:trHeight w:val="564"/>
          <w:jc w:val="center"/>
        </w:trPr>
        <w:tc>
          <w:tcPr>
            <w:tcW w:w="48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1.</w:t>
            </w:r>
          </w:p>
        </w:tc>
        <w:tc>
          <w:tcPr>
            <w:tcW w:w="62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Външни прозорци, остъклени врати и витрини с крила на вертикална и хоризонтална ос на въртене, с рамка от екструдиран поливинилхлорид (PVC) с три и повече кухи камери; покривни прозорци за всеки тип отваряемост с рамка от PVC</w:t>
            </w:r>
          </w:p>
        </w:tc>
        <w:tc>
          <w:tcPr>
            <w:tcW w:w="28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1,4</w:t>
            </w:r>
          </w:p>
        </w:tc>
      </w:tr>
      <w:tr w:rsidR="000B455D" w:rsidRPr="00EF4852" w:rsidTr="00974D74">
        <w:trPr>
          <w:trHeight w:val="564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0B455D" w:rsidRPr="00EF4852" w:rsidTr="00974D74">
        <w:trPr>
          <w:trHeight w:val="577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0B455D" w:rsidRPr="00EF4852" w:rsidTr="00974D74">
        <w:trPr>
          <w:trHeight w:val="564"/>
          <w:jc w:val="center"/>
        </w:trPr>
        <w:tc>
          <w:tcPr>
            <w:tcW w:w="48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2.</w:t>
            </w:r>
          </w:p>
        </w:tc>
        <w:tc>
          <w:tcPr>
            <w:tcW w:w="62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Външни прозорци, остъклени врати и витрини с крила на вертикална и хоризонтална ос на въртене, с рамка от дърво/покривни прозорци за всеки тип отваряемост с рамка от дърво</w:t>
            </w:r>
          </w:p>
        </w:tc>
        <w:tc>
          <w:tcPr>
            <w:tcW w:w="28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1,6/1,8</w:t>
            </w:r>
          </w:p>
        </w:tc>
      </w:tr>
      <w:tr w:rsidR="000B455D" w:rsidRPr="00EF4852" w:rsidTr="00974D74">
        <w:trPr>
          <w:trHeight w:val="564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0B455D" w:rsidRPr="00EF4852" w:rsidTr="00974D74">
        <w:trPr>
          <w:trHeight w:val="396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0B455D" w:rsidRPr="00EF4852" w:rsidTr="00974D74">
        <w:trPr>
          <w:trHeight w:val="570"/>
          <w:jc w:val="center"/>
        </w:trPr>
        <w:tc>
          <w:tcPr>
            <w:tcW w:w="48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3.</w:t>
            </w:r>
          </w:p>
        </w:tc>
        <w:tc>
          <w:tcPr>
            <w:tcW w:w="62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Външни прозорци, остъклени врати и витрини с крила на вертикална и хоризонтална ос на въртене, с рамка от алуминий с прекъснат топлинен мост</w:t>
            </w:r>
          </w:p>
        </w:tc>
        <w:tc>
          <w:tcPr>
            <w:tcW w:w="28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2,0</w:t>
            </w:r>
          </w:p>
        </w:tc>
      </w:tr>
      <w:tr w:rsidR="000B455D" w:rsidRPr="00EF4852" w:rsidTr="00974D74">
        <w:trPr>
          <w:trHeight w:val="564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0B455D" w:rsidRPr="00EF4852" w:rsidTr="00974D74">
        <w:trPr>
          <w:trHeight w:val="396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0B455D" w:rsidRPr="00EF4852" w:rsidTr="00974D74">
        <w:trPr>
          <w:trHeight w:val="570"/>
          <w:jc w:val="center"/>
        </w:trPr>
        <w:tc>
          <w:tcPr>
            <w:tcW w:w="4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4.</w:t>
            </w:r>
          </w:p>
        </w:tc>
        <w:tc>
          <w:tcPr>
            <w:tcW w:w="62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Окачени фасади/окачени фасади с повишени изисквания</w:t>
            </w:r>
          </w:p>
        </w:tc>
        <w:tc>
          <w:tcPr>
            <w:tcW w:w="28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55D" w:rsidRPr="00EF4852" w:rsidRDefault="000B455D" w:rsidP="00974D74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1,75/1,9</w:t>
            </w:r>
          </w:p>
        </w:tc>
      </w:tr>
    </w:tbl>
    <w:p w:rsidR="000B455D" w:rsidRPr="00EF4852" w:rsidRDefault="000B455D" w:rsidP="000B455D">
      <w:pPr>
        <w:spacing w:after="120" w:line="240" w:lineRule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0B455D" w:rsidRPr="00EF4852" w:rsidRDefault="000B455D" w:rsidP="000B455D">
      <w:pPr>
        <w:pStyle w:val="ListParagraph"/>
        <w:numPr>
          <w:ilvl w:val="0"/>
          <w:numId w:val="9"/>
        </w:numPr>
        <w:spacing w:after="120"/>
        <w:jc w:val="both"/>
        <w:rPr>
          <w:b/>
          <w:bCs/>
        </w:rPr>
      </w:pPr>
      <w:r w:rsidRPr="00EF4852">
        <w:rPr>
          <w:b/>
          <w:bCs/>
        </w:rPr>
        <w:t xml:space="preserve"> Технически изисквания към топлофизични характеристики на доставени на строежа продукти за топлоизолация от: полистироли - експандиран (EPS) и </w:t>
      </w:r>
      <w:r w:rsidRPr="00EF4852">
        <w:rPr>
          <w:b/>
          <w:bCs/>
        </w:rPr>
        <w:lastRenderedPageBreak/>
        <w:t>екструдиран (XPS) и вати, както и топлоизолационни комплекти (системи) с такива продукти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Препоръчва се техническите спецификации за строителство да се съставят за топлоизолационни комплекти стандартна или висока технология, която включва най-малко следните елементи:</w:t>
      </w:r>
    </w:p>
    <w:p w:rsidR="000B455D" w:rsidRPr="00EF4852" w:rsidRDefault="000B455D" w:rsidP="000B455D">
      <w:pPr>
        <w:numPr>
          <w:ilvl w:val="0"/>
          <w:numId w:val="1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Негорим, стабилизиран фасаден експандиран полистирол, с коефициент на топлопроводност 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λ ≤ 0,035 W/mK,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със съответна плътност при определени условия на изпитване. </w:t>
      </w:r>
    </w:p>
    <w:p w:rsidR="000B455D" w:rsidRPr="00EF4852" w:rsidRDefault="000B455D" w:rsidP="000B455D">
      <w:pPr>
        <w:pStyle w:val="ListParagraph"/>
        <w:spacing w:after="120"/>
        <w:ind w:left="2160"/>
        <w:jc w:val="both"/>
      </w:pPr>
      <w:r w:rsidRPr="00EF4852">
        <w:t>или</w:t>
      </w:r>
    </w:p>
    <w:p w:rsidR="000B455D" w:rsidRPr="00EF4852" w:rsidRDefault="000B455D" w:rsidP="000B455D">
      <w:pPr>
        <w:numPr>
          <w:ilvl w:val="0"/>
          <w:numId w:val="1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Негорим, стабилизиран фасаден екструдиран полистирол, с коефициент на топлопроводност 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λ ≤ 0,033 W/m.K,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>със съответна плътност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при определени условия на изпитване.</w:t>
      </w:r>
    </w:p>
    <w:p w:rsidR="000B455D" w:rsidRPr="00EF4852" w:rsidRDefault="000B455D" w:rsidP="000B455D">
      <w:pPr>
        <w:pStyle w:val="ListParagraph"/>
        <w:spacing w:after="120"/>
        <w:ind w:left="2160"/>
        <w:jc w:val="both"/>
      </w:pPr>
      <w:r w:rsidRPr="00EF4852">
        <w:t>или</w:t>
      </w:r>
    </w:p>
    <w:p w:rsidR="000B455D" w:rsidRPr="00EF4852" w:rsidRDefault="000B455D" w:rsidP="000B455D">
      <w:pPr>
        <w:numPr>
          <w:ilvl w:val="0"/>
          <w:numId w:val="1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Фасадни плоскости от минерална вата - 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>λ ≤ 0,040 W/m.K,</w:t>
      </w:r>
      <w:r w:rsidRPr="00EF4852">
        <w:rPr>
          <w:rFonts w:ascii="Times New Roman" w:hAnsi="Times New Roman"/>
          <w:sz w:val="24"/>
          <w:szCs w:val="24"/>
          <w:lang w:val="bg-BG"/>
        </w:rPr>
        <w:t xml:space="preserve"> със съответна плътност</w:t>
      </w:r>
      <w:r w:rsidRPr="00EF4852">
        <w:rPr>
          <w:lang w:val="bg-BG"/>
        </w:rPr>
        <w:t xml:space="preserve">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при определени условия на изпитване.</w:t>
      </w:r>
    </w:p>
    <w:p w:rsidR="000B455D" w:rsidRPr="00EF4852" w:rsidRDefault="000B455D" w:rsidP="000B455D">
      <w:pPr>
        <w:spacing w:after="120" w:line="24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или</w:t>
      </w:r>
    </w:p>
    <w:p w:rsidR="000B455D" w:rsidRPr="00EF4852" w:rsidRDefault="000B455D" w:rsidP="000B455D">
      <w:pPr>
        <w:pStyle w:val="ListParagraph"/>
        <w:numPr>
          <w:ilvl w:val="0"/>
          <w:numId w:val="12"/>
        </w:numPr>
        <w:spacing w:after="120"/>
        <w:jc w:val="both"/>
        <w:rPr>
          <w:lang w:eastAsia="en-US"/>
        </w:rPr>
      </w:pPr>
      <w:r w:rsidRPr="00EF4852">
        <w:t xml:space="preserve">Топлоизолационни продукти от пенополиуретан с плътност, съответстваща на </w:t>
      </w:r>
      <w:r w:rsidRPr="00EF4852">
        <w:rPr>
          <w:lang w:eastAsia="en-US"/>
        </w:rPr>
        <w:t xml:space="preserve">- коефициент на топлопроводност  </w:t>
      </w:r>
      <w:r w:rsidRPr="00EF4852">
        <w:rPr>
          <w:b/>
          <w:lang w:eastAsia="en-US"/>
        </w:rPr>
        <w:t>λ ≤ 0,029 W/m.K</w:t>
      </w:r>
      <w:r w:rsidRPr="00EF4852">
        <w:t xml:space="preserve"> </w:t>
      </w:r>
      <w:r w:rsidRPr="00EF4852">
        <w:rPr>
          <w:lang w:eastAsia="en-US"/>
        </w:rPr>
        <w:t>при определени условия на изпитване.</w:t>
      </w:r>
    </w:p>
    <w:p w:rsidR="000B455D" w:rsidRPr="00EF4852" w:rsidRDefault="000B455D" w:rsidP="000B455D">
      <w:pPr>
        <w:pStyle w:val="ListParagraph"/>
        <w:numPr>
          <w:ilvl w:val="0"/>
          <w:numId w:val="12"/>
        </w:numPr>
        <w:spacing w:after="120"/>
        <w:jc w:val="both"/>
        <w:rPr>
          <w:lang w:eastAsia="en-US"/>
        </w:rPr>
      </w:pPr>
      <w:r w:rsidRPr="00EF4852">
        <w:rPr>
          <w:lang w:eastAsia="en-US"/>
        </w:rPr>
        <w:t>Минерални топлоизолационни плочи</w:t>
      </w:r>
      <w:r w:rsidRPr="00EF4852">
        <w:t xml:space="preserve"> - </w:t>
      </w:r>
      <w:r w:rsidRPr="00EF4852">
        <w:rPr>
          <w:b/>
          <w:lang w:eastAsia="en-US"/>
        </w:rPr>
        <w:t>λ ≤ 0,045 W/m.K,</w:t>
      </w:r>
      <w:r w:rsidRPr="00EF4852">
        <w:rPr>
          <w:lang w:eastAsia="en-US"/>
        </w:rPr>
        <w:t xml:space="preserve"> при определени условия на изпитване.</w:t>
      </w:r>
    </w:p>
    <w:p w:rsidR="000B455D" w:rsidRPr="00EF4852" w:rsidRDefault="000B455D" w:rsidP="000B455D">
      <w:pPr>
        <w:pStyle w:val="ListParagraph"/>
        <w:spacing w:after="120"/>
        <w:rPr>
          <w:lang w:eastAsia="en-US"/>
        </w:rPr>
      </w:pPr>
    </w:p>
    <w:p w:rsidR="000B455D" w:rsidRPr="00EF4852" w:rsidRDefault="000B455D" w:rsidP="000B455D">
      <w:pPr>
        <w:spacing w:after="12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i/>
          <w:sz w:val="24"/>
          <w:szCs w:val="24"/>
          <w:lang w:val="bg-BG"/>
        </w:rPr>
        <w:t>За EPS и XPS се препоръчва да се декларират също: деформация при определени условия на натоварване на натиск и температурно въздействие; якост на опън перпендикулярно на повърхностите; напрежение на натиск при 10 % деформация; продължително водопоглъщане чрез дифузия; мразоустойчивост; дифузия и пренасяне на водни пари; динамичнa коравина; реакция на огън; клас на горимост – по норми за съответното предназначение в сградата.</w:t>
      </w:r>
    </w:p>
    <w:p w:rsidR="000B455D" w:rsidRPr="00EF4852" w:rsidRDefault="000B455D" w:rsidP="000B455D">
      <w:pPr>
        <w:spacing w:after="12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i/>
          <w:sz w:val="24"/>
          <w:szCs w:val="24"/>
          <w:lang w:val="bg-BG"/>
        </w:rPr>
        <w:t>За вати се препоръчва да се декларират също: дифузия на водни пари; стабилност на размерите при определена температура и при определена влажност на въздуха; динамична якост; свиваемост; якост на опън перпендикулярно на лицевата част; клас на горимост – А1.</w:t>
      </w:r>
    </w:p>
    <w:p w:rsidR="000B455D" w:rsidRPr="00EF4852" w:rsidRDefault="000B455D" w:rsidP="000B455D">
      <w:pPr>
        <w:spacing w:after="12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i/>
          <w:sz w:val="24"/>
          <w:szCs w:val="24"/>
          <w:lang w:val="bg-BG"/>
        </w:rPr>
        <w:t>Топлоизолационните  продукти от пенополиуретан следва да се съобразят с конкретното им предназначение и дебелината на покритието следва да бъде оразмерена в зависимост от коефициента на топлопроводност за съответната плътност.</w:t>
      </w:r>
    </w:p>
    <w:p w:rsidR="000B455D" w:rsidRPr="00EF4852" w:rsidRDefault="000B455D" w:rsidP="000B455D">
      <w:pPr>
        <w:pStyle w:val="ListParagraph"/>
        <w:numPr>
          <w:ilvl w:val="0"/>
          <w:numId w:val="12"/>
        </w:numPr>
        <w:spacing w:after="120"/>
        <w:jc w:val="both"/>
      </w:pPr>
      <w:r w:rsidRPr="00EF4852">
        <w:t>еластична лепилна прахообразна смес за лепене на топлоизолационни плочи, съвместима с конкретната топлоизолационна система и основния топлоизолационен продукт;</w:t>
      </w:r>
    </w:p>
    <w:p w:rsidR="000B455D" w:rsidRPr="00EF4852" w:rsidRDefault="000B455D" w:rsidP="000B455D">
      <w:pPr>
        <w:pStyle w:val="ListParagraph"/>
        <w:numPr>
          <w:ilvl w:val="0"/>
          <w:numId w:val="12"/>
        </w:numPr>
        <w:spacing w:after="120"/>
        <w:jc w:val="both"/>
      </w:pPr>
      <w:r w:rsidRPr="00EF4852">
        <w:t>еластична лепилно-шпакловъчна прахообразна смес за лепене и шпакловане на топлоизолационни плочи от EPS, за шпакловане на основи от цимент, сглобяеми елементи от бетон, мазилки на циментова основа, термоизолиращи мазилки, за декоративни детайли;</w:t>
      </w:r>
    </w:p>
    <w:p w:rsidR="000B455D" w:rsidRPr="00EF4852" w:rsidRDefault="000B455D" w:rsidP="000B455D">
      <w:pPr>
        <w:pStyle w:val="ListParagraph"/>
        <w:numPr>
          <w:ilvl w:val="0"/>
          <w:numId w:val="12"/>
        </w:numPr>
        <w:spacing w:after="120"/>
        <w:jc w:val="both"/>
      </w:pPr>
      <w:r w:rsidRPr="00EF4852">
        <w:lastRenderedPageBreak/>
        <w:t>армираща стъклотекстилна мрежа с алкалоустойчиво покритие за вграждане в топлоизолационната система, съвместима с предлаганата топлоизолационна система;</w:t>
      </w:r>
    </w:p>
    <w:p w:rsidR="000B455D" w:rsidRPr="00EF4852" w:rsidRDefault="000B455D" w:rsidP="000B455D">
      <w:pPr>
        <w:pStyle w:val="ListParagraph"/>
        <w:numPr>
          <w:ilvl w:val="0"/>
          <w:numId w:val="12"/>
        </w:numPr>
        <w:spacing w:after="120"/>
        <w:jc w:val="both"/>
      </w:pPr>
      <w:r w:rsidRPr="00EF4852">
        <w:t>импрегнатор-заздравител на дисперсна основа, предназначен за основи, които ще бъдат третирани с продукти от групата на акрилни, силикатни или силиконови продукти според конкретното предназначение;</w:t>
      </w:r>
    </w:p>
    <w:p w:rsidR="000B455D" w:rsidRPr="00EF4852" w:rsidRDefault="000B455D" w:rsidP="000B455D">
      <w:pPr>
        <w:pStyle w:val="ListParagraph"/>
        <w:numPr>
          <w:ilvl w:val="0"/>
          <w:numId w:val="12"/>
        </w:numPr>
        <w:spacing w:after="120"/>
        <w:jc w:val="both"/>
      </w:pPr>
      <w:r w:rsidRPr="00EF4852">
        <w:t>отлично защитно и декоративно покритие за външни и вътрешни повърхности, комбинация от акрилен и силиконов полимер, подбрани инертни материали с различен гранулометричен състав, добавки, подпомагащи по-бързото съхнене на продукта, както и оцветители с висока устойчивост към UV лъчи и лоши климатични условия, съдържащи специални антибактериални добавки срещу мухъл и лишеи. Паропропусклива и водоотблъскваща мазилка съгласно архитектурен проект на сградата.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Дебелината на топлинната изолация от съответния вид </w:t>
      </w:r>
      <w:r w:rsidRPr="00EF4852">
        <w:rPr>
          <w:rFonts w:ascii="Times New Roman" w:eastAsia="Times New Roman" w:hAnsi="Times New Roman"/>
          <w:i/>
          <w:sz w:val="24"/>
          <w:szCs w:val="24"/>
          <w:lang w:val="bg-BG"/>
        </w:rPr>
        <w:t>се оразмерява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 в техническия проект на съответната сграда в част „Енергийна ефективност“ и се съобразява с техническите параметри, заложени за съответната енергоспестяваща мярка в енергийното обследване. 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Посочените по-горе топлоизолационни продукти и техническите им характеристики са препоръчителни и не изчерпват приложението на други продукти, които отговарят на приложимите нормативни изисквания и стандарти и имат енергоспестяващ ефект.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Изчисленията, направени в част „Енергийна ефективност“ на инвестиционния проект са задължителни за спазване от строителя при изготвяне на офертата за изпълнение на топлинна изолация на сградата. Изпълнението на архитектурно-строителните детайли, разработени в част архитектурна са също задължителни за строителя, като корекции на архитектурно – строителните детайли се извършват съгласно предвидения законов ред. 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В техническата спецификация за строителство възложителят следва да посочи ясно коефициентите но топлопреминаване през външните ограждащи елементи на сградата, които трябва да се постигнат с полагане на топлоизолационна система за съответното предназначение в сградата, като тези коефициенти също се взимат от инвестиционния проект, където на по-ранен етап са съобразени и съгласувани с резултатите от обследването за енергийна ефективност. </w:t>
      </w:r>
    </w:p>
    <w:p w:rsidR="000B455D" w:rsidRPr="00F069ED" w:rsidRDefault="000B455D" w:rsidP="000B455D">
      <w:pPr>
        <w:pStyle w:val="ListParagraph"/>
        <w:numPr>
          <w:ilvl w:val="0"/>
          <w:numId w:val="9"/>
        </w:numPr>
        <w:spacing w:after="120"/>
        <w:jc w:val="both"/>
        <w:rPr>
          <w:b/>
        </w:rPr>
      </w:pPr>
      <w:r w:rsidRPr="00F069ED">
        <w:rPr>
          <w:b/>
        </w:rPr>
        <w:t xml:space="preserve">Технически изисквания към хидроизолации и хидроизолационни системи 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Проектните решения на хидроизолациите и на хидроизолационните системи на сгради се представя в част архитектурна на инвестиционния проект.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Физико-механичните характеристики на предвидените за изпълнение хидроизолации и хидроизолационни системи и условията за полагането им трябва да отговарят на нормативните изисквания на Наредба № 2 от 2008 г. в зависимост от вида на продуктите и предвидените им функции и предназначение. 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Видовете строителни продукти, които могат да се предвиждат при проектирането на хидроизолации и на хидроизолационни системи на плоски покриви на сгради и съоръжения и за които в наредбата са определени физико-механични характеристики, са съответно на база на: </w:t>
      </w:r>
    </w:p>
    <w:p w:rsidR="000B455D" w:rsidRPr="00EF4852" w:rsidRDefault="000B455D" w:rsidP="000B455D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 xml:space="preserve">огъваеми битумни мушами; </w:t>
      </w:r>
    </w:p>
    <w:p w:rsidR="000B455D" w:rsidRPr="00EF4852" w:rsidRDefault="000B455D" w:rsidP="000B455D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 xml:space="preserve">пластмасови и каучукови мушами; </w:t>
      </w:r>
    </w:p>
    <w:p w:rsidR="000B455D" w:rsidRPr="00EF4852" w:rsidRDefault="000B455D" w:rsidP="000B455D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>битумнополимерни състави;</w:t>
      </w:r>
    </w:p>
    <w:p w:rsidR="000B455D" w:rsidRPr="00EF4852" w:rsidRDefault="000B455D" w:rsidP="000B455D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lastRenderedPageBreak/>
        <w:t>течни полимерни състави;</w:t>
      </w:r>
    </w:p>
    <w:p w:rsidR="000B455D" w:rsidRPr="00EF4852" w:rsidRDefault="000B455D" w:rsidP="000B455D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>циментнополимерни състави.</w:t>
      </w:r>
    </w:p>
    <w:p w:rsidR="000B455D" w:rsidRPr="00EF4852" w:rsidRDefault="000B455D" w:rsidP="000B455D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Видът на хидроизолацията и на хидроизолационната система на плоски покриви на сгради и съоръжения се избира в зависимост от:</w:t>
      </w:r>
    </w:p>
    <w:p w:rsidR="000B455D" w:rsidRPr="00EF4852" w:rsidRDefault="000B455D" w:rsidP="000B455D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>техническите характеристики и технологията за изпълнение на строежа;</w:t>
      </w:r>
    </w:p>
    <w:p w:rsidR="000B455D" w:rsidRPr="00EF4852" w:rsidRDefault="000B455D" w:rsidP="000B455D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>вида на строежа: ново строителство, основен ремонт, реконструкция, основно обновяване или преустройство;</w:t>
      </w:r>
    </w:p>
    <w:p w:rsidR="000B455D" w:rsidRPr="00EF4852" w:rsidRDefault="000B455D" w:rsidP="000B455D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>вида на основата, върху която ще се изпълнява хидроизолацията (бетон, циментно-пясъчен разтвор, торкретбетон, дървесина, метал, зидария и др.);</w:t>
      </w:r>
    </w:p>
    <w:p w:rsidR="000B455D" w:rsidRPr="00EF4852" w:rsidRDefault="000B455D" w:rsidP="000B455D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>компонентите (слоевете) на хидроизолационната система;</w:t>
      </w:r>
    </w:p>
    <w:p w:rsidR="000B455D" w:rsidRPr="00EF4852" w:rsidRDefault="000B455D" w:rsidP="000B455D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>вида и начина на водоотвеждането;</w:t>
      </w:r>
    </w:p>
    <w:p w:rsidR="000B455D" w:rsidRPr="00EF4852" w:rsidRDefault="000B455D" w:rsidP="000B455D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>използваемостта на покрива.</w:t>
      </w:r>
    </w:p>
    <w:p w:rsidR="000B455D" w:rsidRPr="00F069ED" w:rsidRDefault="000B455D" w:rsidP="000B455D">
      <w:pPr>
        <w:pStyle w:val="ListParagraph"/>
        <w:numPr>
          <w:ilvl w:val="0"/>
          <w:numId w:val="9"/>
        </w:numPr>
        <w:spacing w:after="120"/>
        <w:jc w:val="both"/>
        <w:rPr>
          <w:b/>
        </w:rPr>
      </w:pPr>
      <w:r w:rsidRPr="00F069ED">
        <w:rPr>
          <w:b/>
        </w:rPr>
        <w:t>Технически изисквания към доставени на строежа комплекти от сглобени прозорци и врати, които ще се монтират върху фасадите на сградите.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В съответствие с </w:t>
      </w:r>
      <w:r w:rsidRPr="00EF4852">
        <w:rPr>
          <w:rFonts w:ascii="Times New Roman" w:eastAsia="Times New Roman" w:hAnsi="Times New Roman"/>
          <w:i/>
          <w:sz w:val="24"/>
          <w:szCs w:val="24"/>
          <w:lang w:val="bg-BG"/>
        </w:rPr>
        <w:t>Наредба № 7 за енергийна ефективност, топлосъхранение и икономия на енергия в сгради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>, на етапа на изпълнение на строителството доставените на строежа комплекти трябва да бъдат придружени с декларация за съответствие от изпитване на типа за доказване на съответствието на продукта с БДС EN 14351-1:2006 и БДС  EN ISO 10077-1:2006, която съдържа най-малко следната информация за:</w:t>
      </w:r>
    </w:p>
    <w:p w:rsidR="000B455D" w:rsidRPr="00EF4852" w:rsidRDefault="000B455D" w:rsidP="000B455D">
      <w:pPr>
        <w:pStyle w:val="ListParagraph"/>
        <w:numPr>
          <w:ilvl w:val="0"/>
          <w:numId w:val="13"/>
        </w:numPr>
        <w:spacing w:after="120"/>
        <w:jc w:val="both"/>
      </w:pPr>
      <w:r w:rsidRPr="00EF4852">
        <w:t>коефициента на топлопреминаване на сглобения образец (Uw) в W/m</w:t>
      </w:r>
      <w:r w:rsidRPr="00EF4852">
        <w:rPr>
          <w:vertAlign w:val="superscript"/>
        </w:rPr>
        <w:t>2</w:t>
      </w:r>
      <w:r w:rsidRPr="00EF4852">
        <w:t>K;</w:t>
      </w:r>
    </w:p>
    <w:p w:rsidR="000B455D" w:rsidRPr="00EF4852" w:rsidRDefault="000B455D" w:rsidP="000B455D">
      <w:pPr>
        <w:pStyle w:val="ListParagraph"/>
        <w:numPr>
          <w:ilvl w:val="0"/>
          <w:numId w:val="13"/>
        </w:numPr>
        <w:spacing w:after="120"/>
        <w:jc w:val="both"/>
      </w:pPr>
      <w:r w:rsidRPr="00EF4852">
        <w:t>коефициента на топлопреминаване на остъкляването (Ug) в W/m</w:t>
      </w:r>
      <w:r w:rsidRPr="00EF4852">
        <w:rPr>
          <w:vertAlign w:val="superscript"/>
        </w:rPr>
        <w:t>2</w:t>
      </w:r>
      <w:r w:rsidRPr="00EF4852">
        <w:t>K;</w:t>
      </w:r>
    </w:p>
    <w:p w:rsidR="000B455D" w:rsidRPr="00EF4852" w:rsidRDefault="000B455D" w:rsidP="000B455D">
      <w:pPr>
        <w:pStyle w:val="ListParagraph"/>
        <w:numPr>
          <w:ilvl w:val="0"/>
          <w:numId w:val="13"/>
        </w:numPr>
        <w:spacing w:after="120"/>
        <w:jc w:val="both"/>
      </w:pPr>
      <w:r w:rsidRPr="00EF4852">
        <w:t>коефициента на топлопреминаване на рамката (Uf) в W/m</w:t>
      </w:r>
      <w:r w:rsidRPr="00EF4852">
        <w:rPr>
          <w:vertAlign w:val="superscript"/>
        </w:rPr>
        <w:t>2</w:t>
      </w:r>
      <w:r w:rsidRPr="00EF4852">
        <w:t>K;</w:t>
      </w:r>
    </w:p>
    <w:p w:rsidR="000B455D" w:rsidRPr="00EF4852" w:rsidRDefault="000B455D" w:rsidP="000B455D">
      <w:pPr>
        <w:pStyle w:val="ListParagraph"/>
        <w:numPr>
          <w:ilvl w:val="0"/>
          <w:numId w:val="13"/>
        </w:numPr>
        <w:spacing w:after="120"/>
        <w:jc w:val="both"/>
      </w:pPr>
      <w:r w:rsidRPr="00EF4852">
        <w:t>коефициента на енергопреминаване на остъкляването (g);</w:t>
      </w:r>
    </w:p>
    <w:p w:rsidR="000B455D" w:rsidRPr="00EF4852" w:rsidRDefault="000B455D" w:rsidP="000B455D">
      <w:pPr>
        <w:pStyle w:val="ListParagraph"/>
        <w:numPr>
          <w:ilvl w:val="0"/>
          <w:numId w:val="13"/>
        </w:numPr>
        <w:spacing w:after="120"/>
        <w:jc w:val="both"/>
      </w:pPr>
      <w:r w:rsidRPr="00EF4852">
        <w:t>радиационните характеристики - степен на светлопропускливост и спектрална характеристика;</w:t>
      </w:r>
    </w:p>
    <w:p w:rsidR="000B455D" w:rsidRPr="00EF4852" w:rsidRDefault="000B455D" w:rsidP="000B455D">
      <w:pPr>
        <w:pStyle w:val="ListParagraph"/>
        <w:numPr>
          <w:ilvl w:val="0"/>
          <w:numId w:val="13"/>
        </w:numPr>
        <w:spacing w:after="120"/>
        <w:jc w:val="both"/>
      </w:pPr>
      <w:r w:rsidRPr="00EF4852">
        <w:t>въздухопропускливостта на образеца;</w:t>
      </w:r>
    </w:p>
    <w:p w:rsidR="000B455D" w:rsidRPr="00EF4852" w:rsidRDefault="000B455D" w:rsidP="000B455D">
      <w:pPr>
        <w:pStyle w:val="ListParagraph"/>
        <w:numPr>
          <w:ilvl w:val="0"/>
          <w:numId w:val="13"/>
        </w:numPr>
        <w:spacing w:after="120"/>
        <w:jc w:val="both"/>
      </w:pPr>
      <w:r w:rsidRPr="00EF4852">
        <w:t>водонепропускливостта;</w:t>
      </w:r>
    </w:p>
    <w:p w:rsidR="000B455D" w:rsidRPr="00EF4852" w:rsidRDefault="000B455D" w:rsidP="000B455D">
      <w:pPr>
        <w:pStyle w:val="ListParagraph"/>
        <w:numPr>
          <w:ilvl w:val="0"/>
          <w:numId w:val="13"/>
        </w:numPr>
        <w:spacing w:after="120"/>
        <w:jc w:val="both"/>
      </w:pPr>
      <w:r w:rsidRPr="00EF4852">
        <w:t>защитата от шум.</w:t>
      </w:r>
    </w:p>
    <w:p w:rsidR="000B455D" w:rsidRPr="00F069ED" w:rsidRDefault="000B455D" w:rsidP="000B455D">
      <w:pPr>
        <w:pStyle w:val="ListParagraph"/>
        <w:numPr>
          <w:ilvl w:val="0"/>
          <w:numId w:val="9"/>
        </w:numPr>
        <w:spacing w:after="120"/>
        <w:jc w:val="both"/>
        <w:rPr>
          <w:b/>
        </w:rPr>
      </w:pPr>
      <w:r w:rsidRPr="00F069ED">
        <w:rPr>
          <w:b/>
        </w:rPr>
        <w:t>Технически изисквания към енергийните характеристики за слънчеви колектори за системи, оползотворяващи слънчева енергия за загряване на вода за битови нужди в сградата.</w:t>
      </w:r>
    </w:p>
    <w:p w:rsidR="000B455D" w:rsidRPr="00EF4852" w:rsidRDefault="000B455D" w:rsidP="000B455D">
      <w:pPr>
        <w:spacing w:after="120" w:line="240" w:lineRule="auto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С отчитане нивото на технологиите препоръчителни за техническите спецификации са следните изисквания:</w:t>
      </w:r>
    </w:p>
    <w:p w:rsidR="000B455D" w:rsidRPr="00EF4852" w:rsidRDefault="000B455D" w:rsidP="000B455D">
      <w:pPr>
        <w:spacing w:after="120" w:line="240" w:lineRule="auto"/>
        <w:rPr>
          <w:rFonts w:ascii="Times New Roman" w:eastAsia="MS Mincho" w:hAnsi="Times New Roman"/>
          <w:b/>
          <w:sz w:val="24"/>
          <w:szCs w:val="24"/>
          <w:lang w:val="bg-BG" w:eastAsia="ar-SA"/>
        </w:rPr>
      </w:pPr>
      <w:r>
        <w:rPr>
          <w:rFonts w:ascii="Times New Roman" w:eastAsia="MS Mincho" w:hAnsi="Times New Roman"/>
          <w:b/>
          <w:sz w:val="24"/>
          <w:szCs w:val="24"/>
          <w:lang w:val="bg-BG" w:eastAsia="ar-SA"/>
        </w:rPr>
        <w:t>7.</w:t>
      </w:r>
      <w:r w:rsidRPr="00EF4852">
        <w:rPr>
          <w:rFonts w:ascii="Times New Roman" w:eastAsia="MS Mincho" w:hAnsi="Times New Roman"/>
          <w:b/>
          <w:sz w:val="24"/>
          <w:szCs w:val="24"/>
          <w:lang w:val="bg-BG" w:eastAsia="ar-SA"/>
        </w:rPr>
        <w:t>1. Плоски слънчеви колектори</w:t>
      </w:r>
    </w:p>
    <w:p w:rsidR="000B455D" w:rsidRPr="00EF4852" w:rsidRDefault="000B455D" w:rsidP="000B455D">
      <w:pPr>
        <w:numPr>
          <w:ilvl w:val="0"/>
          <w:numId w:val="11"/>
        </w:numPr>
        <w:suppressAutoHyphens/>
        <w:autoSpaceDE w:val="0"/>
        <w:spacing w:after="120" w:line="240" w:lineRule="auto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Коефициент на абсорбция (α) &gt;/= 90%</w:t>
      </w:r>
    </w:p>
    <w:p w:rsidR="000B455D" w:rsidRPr="00EF4852" w:rsidRDefault="000B455D" w:rsidP="000B455D">
      <w:pPr>
        <w:numPr>
          <w:ilvl w:val="0"/>
          <w:numId w:val="11"/>
        </w:numPr>
        <w:suppressAutoHyphens/>
        <w:autoSpaceDE w:val="0"/>
        <w:spacing w:after="120" w:line="240" w:lineRule="auto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Коефициент на емисия (ε ) &lt;/= 5%</w:t>
      </w:r>
    </w:p>
    <w:p w:rsidR="000B455D" w:rsidRPr="00EF4852" w:rsidRDefault="000B455D" w:rsidP="000B455D">
      <w:pPr>
        <w:numPr>
          <w:ilvl w:val="0"/>
          <w:numId w:val="11"/>
        </w:numPr>
        <w:suppressAutoHyphens/>
        <w:autoSpaceDE w:val="0"/>
        <w:spacing w:after="120" w:line="240" w:lineRule="auto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Обобщен коефициент на топлинни загуби ( U</w:t>
      </w:r>
      <w:r w:rsidRPr="00EF4852">
        <w:rPr>
          <w:rFonts w:ascii="Times New Roman" w:eastAsia="MS Mincho" w:hAnsi="Times New Roman"/>
          <w:sz w:val="24"/>
          <w:szCs w:val="24"/>
          <w:vertAlign w:val="subscript"/>
          <w:lang w:val="bg-BG" w:eastAsia="ar-SA"/>
        </w:rPr>
        <w:t>L</w:t>
      </w: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 xml:space="preserve"> &lt;/= 5 Вт/м</w:t>
      </w:r>
      <w:r w:rsidRPr="00EF4852">
        <w:rPr>
          <w:rFonts w:ascii="Times New Roman" w:eastAsia="MS Mincho" w:hAnsi="Times New Roman"/>
          <w:sz w:val="24"/>
          <w:szCs w:val="24"/>
          <w:vertAlign w:val="superscript"/>
          <w:lang w:val="bg-BG" w:eastAsia="ar-SA"/>
        </w:rPr>
        <w:t>2</w:t>
      </w: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К )</w:t>
      </w:r>
    </w:p>
    <w:p w:rsidR="000B455D" w:rsidRPr="00EF4852" w:rsidRDefault="000B455D" w:rsidP="000B455D">
      <w:pPr>
        <w:numPr>
          <w:ilvl w:val="0"/>
          <w:numId w:val="11"/>
        </w:numPr>
        <w:suppressAutoHyphens/>
        <w:autoSpaceDE w:val="0"/>
        <w:spacing w:after="120" w:line="240" w:lineRule="auto"/>
        <w:jc w:val="both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lastRenderedPageBreak/>
        <w:t>Използваната прозрачна изолация да е от закалено стъкло с ниско съдържание на желязо</w:t>
      </w:r>
    </w:p>
    <w:p w:rsidR="000B455D" w:rsidRPr="00EF4852" w:rsidRDefault="000B455D" w:rsidP="000B455D">
      <w:pPr>
        <w:numPr>
          <w:ilvl w:val="0"/>
          <w:numId w:val="11"/>
        </w:numPr>
        <w:suppressAutoHyphens/>
        <w:autoSpaceDE w:val="0"/>
        <w:spacing w:after="120" w:line="240" w:lineRule="auto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 xml:space="preserve">Работно налягане на колектора – 6 бара </w:t>
      </w:r>
    </w:p>
    <w:p w:rsidR="000B455D" w:rsidRPr="00EF4852" w:rsidRDefault="000B455D" w:rsidP="000B455D">
      <w:pPr>
        <w:suppressAutoHyphens/>
        <w:autoSpaceDE w:val="0"/>
        <w:spacing w:after="120" w:line="240" w:lineRule="auto"/>
        <w:rPr>
          <w:rFonts w:ascii="Times New Roman" w:eastAsia="MS Mincho" w:hAnsi="Times New Roman"/>
          <w:b/>
          <w:sz w:val="24"/>
          <w:szCs w:val="24"/>
          <w:lang w:val="bg-BG" w:eastAsia="ar-SA"/>
        </w:rPr>
      </w:pPr>
      <w:r>
        <w:rPr>
          <w:rFonts w:ascii="Times New Roman" w:eastAsia="MS Mincho" w:hAnsi="Times New Roman"/>
          <w:b/>
          <w:sz w:val="24"/>
          <w:szCs w:val="24"/>
          <w:lang w:val="bg-BG" w:eastAsia="ar-SA"/>
        </w:rPr>
        <w:t>7</w:t>
      </w:r>
      <w:r w:rsidRPr="00EF4852">
        <w:rPr>
          <w:rFonts w:ascii="Times New Roman" w:eastAsia="MS Mincho" w:hAnsi="Times New Roman"/>
          <w:b/>
          <w:sz w:val="24"/>
          <w:szCs w:val="24"/>
          <w:lang w:val="bg-BG" w:eastAsia="ar-SA"/>
        </w:rPr>
        <w:t>.2. Вакуумно тръбни слънчеви колектори</w:t>
      </w:r>
    </w:p>
    <w:p w:rsidR="000B455D" w:rsidRPr="00EF4852" w:rsidRDefault="000B455D" w:rsidP="000B455D">
      <w:pPr>
        <w:numPr>
          <w:ilvl w:val="0"/>
          <w:numId w:val="11"/>
        </w:numPr>
        <w:suppressAutoHyphens/>
        <w:autoSpaceDE w:val="0"/>
        <w:spacing w:after="120" w:line="240" w:lineRule="auto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Коефициент на абсорбция (α) &gt;/= 90%</w:t>
      </w:r>
    </w:p>
    <w:p w:rsidR="000B455D" w:rsidRPr="00EF4852" w:rsidRDefault="000B455D" w:rsidP="000B455D">
      <w:pPr>
        <w:numPr>
          <w:ilvl w:val="0"/>
          <w:numId w:val="11"/>
        </w:numPr>
        <w:suppressAutoHyphens/>
        <w:autoSpaceDE w:val="0"/>
        <w:spacing w:after="120" w:line="240" w:lineRule="auto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Коефициент на емисия (ε ) &lt;/= 5%</w:t>
      </w:r>
    </w:p>
    <w:p w:rsidR="000B455D" w:rsidRPr="00EF4852" w:rsidRDefault="000B455D" w:rsidP="000B455D">
      <w:pPr>
        <w:numPr>
          <w:ilvl w:val="0"/>
          <w:numId w:val="11"/>
        </w:numPr>
        <w:suppressAutoHyphens/>
        <w:autoSpaceDE w:val="0"/>
        <w:spacing w:after="120" w:line="240" w:lineRule="auto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Обобщен коефициент на топлинни загуби ( U</w:t>
      </w:r>
      <w:r w:rsidRPr="00EF4852">
        <w:rPr>
          <w:rFonts w:ascii="Times New Roman" w:eastAsia="MS Mincho" w:hAnsi="Times New Roman"/>
          <w:sz w:val="24"/>
          <w:szCs w:val="24"/>
          <w:vertAlign w:val="subscript"/>
          <w:lang w:val="bg-BG" w:eastAsia="ar-SA"/>
        </w:rPr>
        <w:t xml:space="preserve">L </w:t>
      </w: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&lt;/= 1,5  Вт/м</w:t>
      </w:r>
      <w:r w:rsidRPr="00EF4852">
        <w:rPr>
          <w:rFonts w:ascii="Times New Roman" w:eastAsia="MS Mincho" w:hAnsi="Times New Roman"/>
          <w:sz w:val="24"/>
          <w:szCs w:val="24"/>
          <w:vertAlign w:val="superscript"/>
          <w:lang w:val="bg-BG" w:eastAsia="ar-SA"/>
        </w:rPr>
        <w:t>2</w:t>
      </w: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К )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8. 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>Технически изисквания към някои доставени на строежа продукти, потребяващи енергия (осветление и уреди).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8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>.1.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>Светлинен поток за консумирана мощност на източника на светлина или светлинен добив на източника за вграждане в осветителите:</w:t>
      </w:r>
    </w:p>
    <w:p w:rsidR="000B455D" w:rsidRPr="00EF4852" w:rsidRDefault="000B455D" w:rsidP="000B455D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>•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Компактни флуоресцентни осветители не по-малко от   70 lm/W;</w:t>
      </w:r>
    </w:p>
    <w:p w:rsidR="000B455D" w:rsidRPr="00EF4852" w:rsidRDefault="000B455D" w:rsidP="000B455D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•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>Флуоресцентни осветители не по-малко от  70 lm/W;</w:t>
      </w:r>
    </w:p>
    <w:p w:rsidR="000B455D" w:rsidRPr="00EF4852" w:rsidRDefault="000B455D" w:rsidP="000B455D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•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>Натриеви осветители не по-малко от  120 lm/W;</w:t>
      </w:r>
    </w:p>
    <w:p w:rsidR="000B455D" w:rsidRPr="00EF4852" w:rsidRDefault="000B455D" w:rsidP="000B455D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•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>Метал-халогенидни осветители: не по-малко от  60 lm/W;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8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>.2. Светлинен добив на източника за вграждане в осветителите – за светодиодни</w:t>
      </w:r>
      <w:r w:rsidRPr="00EF4852"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 -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 не по-малко от  60 lm/W;</w:t>
      </w:r>
    </w:p>
    <w:p w:rsidR="000B455D" w:rsidRPr="00EF4852" w:rsidRDefault="000B455D" w:rsidP="000B455D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Енергиен клас на осветителя – препоръчва се клас A, съгл. Регламент (ЕО) 874/2012.</w:t>
      </w:r>
    </w:p>
    <w:p w:rsidR="000B455D" w:rsidRPr="00EF4852" w:rsidRDefault="000B455D" w:rsidP="000B455D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Енергиен клас на баласта - съгласно Регламент (ЕО) 245/2009 и Регламент (ЕО) 347/2010.</w:t>
      </w:r>
    </w:p>
    <w:p w:rsidR="000B455D" w:rsidRPr="00EF4852" w:rsidRDefault="000B455D" w:rsidP="000B455D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Среден (номинален) период на работа, по време на който известен брой осветители отказват напълно:</w:t>
      </w:r>
    </w:p>
    <w:p w:rsidR="000B455D" w:rsidRPr="00EF4852" w:rsidRDefault="000B455D" w:rsidP="000B455D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Компактни флуоресцентни осветители: 50%  не по-малко от 20 000 часа;</w:t>
      </w:r>
    </w:p>
    <w:p w:rsidR="000B455D" w:rsidRPr="00EF4852" w:rsidRDefault="000B455D" w:rsidP="000B455D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Флуоресцентни осветители 50%  не по-малко от 15 000 часа;</w:t>
      </w:r>
    </w:p>
    <w:p w:rsidR="000B455D" w:rsidRPr="00EF4852" w:rsidRDefault="000B455D" w:rsidP="000B455D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Натриеви осветители 50%  не по-малко от 15 000 часа. </w:t>
      </w:r>
    </w:p>
    <w:p w:rsidR="000B455D" w:rsidRPr="00EF4852" w:rsidRDefault="000B455D" w:rsidP="000B455D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Намаляване на светлинния поток - за светодиодни осветители: •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>не повече от 30 % за не по-малко от 50 000 часа</w:t>
      </w:r>
    </w:p>
    <w:p w:rsidR="000B455D" w:rsidRPr="00EF4852" w:rsidRDefault="000B455D" w:rsidP="000B455D">
      <w:pPr>
        <w:spacing w:after="120" w:line="240" w:lineRule="auto"/>
        <w:ind w:left="369" w:firstLine="708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Всички светлотехнически параметри на осветителя  се удостоверяват с протокол от изпитвателна лаборатория.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В случаите когато се ползва самостоятелно източник на светлина за директна замяна, неговите технически параметри се удостоверяват, като изрично се подчертава, че става въпрос за използван светлинен източник, а не за осветител. 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9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Технически изисквания към термопомпи 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Техническите изисквани се отнасят за минимален COP (коефициент на преобразуване на енергията). Според вида на термопомпата се препоръчват да се залагат следните изисквания: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val="bg-BG"/>
        </w:rPr>
      </w:pP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b/>
          <w:sz w:val="24"/>
          <w:szCs w:val="24"/>
          <w:u w:val="single"/>
          <w:lang w:val="bg-BG"/>
        </w:rPr>
        <w:t>Вид на термопомпата:</w:t>
      </w:r>
      <w:r w:rsidRPr="00EF4852">
        <w:rPr>
          <w:rFonts w:ascii="Times New Roman" w:eastAsia="Times New Roman" w:hAnsi="Times New Roman"/>
          <w:b/>
          <w:sz w:val="24"/>
          <w:szCs w:val="24"/>
          <w:u w:val="single"/>
          <w:lang w:val="bg-BG"/>
        </w:rPr>
        <w:tab/>
      </w:r>
      <w:r w:rsidRPr="00EF4852">
        <w:rPr>
          <w:rFonts w:ascii="Times New Roman" w:eastAsia="Times New Roman" w:hAnsi="Times New Roman"/>
          <w:b/>
          <w:sz w:val="24"/>
          <w:szCs w:val="24"/>
          <w:u w:val="single"/>
          <w:lang w:val="bg-BG"/>
        </w:rPr>
        <w:tab/>
      </w:r>
      <w:r w:rsidRPr="00EF4852">
        <w:rPr>
          <w:rFonts w:ascii="Times New Roman" w:eastAsia="Times New Roman" w:hAnsi="Times New Roman"/>
          <w:b/>
          <w:sz w:val="24"/>
          <w:szCs w:val="24"/>
          <w:u w:val="single"/>
          <w:lang w:val="bg-BG"/>
        </w:rPr>
        <w:tab/>
        <w:t>СОР:</w:t>
      </w:r>
    </w:p>
    <w:p w:rsidR="000B455D" w:rsidRPr="00EF4852" w:rsidRDefault="000B455D" w:rsidP="000B455D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Солов разтвор - вода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 xml:space="preserve">- 3.5 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>Вода – вода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 xml:space="preserve">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 xml:space="preserve">- 4.0 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lastRenderedPageBreak/>
        <w:tab/>
        <w:t xml:space="preserve">Въздух – въздух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>- 3.5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 xml:space="preserve">Въздух - вода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 xml:space="preserve">- 3.5 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>Директен обмен земя, свързана с вода - 4.0</w:t>
      </w:r>
    </w:p>
    <w:p w:rsidR="000B455D" w:rsidRPr="00EF4852" w:rsidRDefault="000B455D" w:rsidP="000B455D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10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Технически изисквания към водогрейни котли </w:t>
      </w: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701"/>
        <w:gridCol w:w="1623"/>
        <w:gridCol w:w="1418"/>
        <w:gridCol w:w="1495"/>
        <w:gridCol w:w="1560"/>
        <w:gridCol w:w="2101"/>
      </w:tblGrid>
      <w:tr w:rsidR="000B455D" w:rsidRPr="00EF4852" w:rsidTr="00974D74">
        <w:trPr>
          <w:trHeight w:val="700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Вид на котела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Мощност</w:t>
            </w:r>
          </w:p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(kW)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КПД при</w:t>
            </w:r>
          </w:p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номинална мощност</w:t>
            </w:r>
          </w:p>
        </w:tc>
        <w:tc>
          <w:tcPr>
            <w:tcW w:w="3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КПД при</w:t>
            </w:r>
          </w:p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частичен товар</w:t>
            </w:r>
          </w:p>
        </w:tc>
      </w:tr>
      <w:tr w:rsidR="000B455D" w:rsidRPr="00EF4852" w:rsidTr="00974D74">
        <w:trPr>
          <w:trHeight w:val="1047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средна температура на</w:t>
            </w:r>
          </w:p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водата (в °С)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изисквания</w:t>
            </w:r>
          </w:p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за КПД,</w:t>
            </w:r>
          </w:p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изразен</w:t>
            </w:r>
          </w:p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в %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средна </w:t>
            </w:r>
          </w:p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температура на</w:t>
            </w:r>
          </w:p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водата  (в °С)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изисквания</w:t>
            </w:r>
          </w:p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за КПД,</w:t>
            </w:r>
          </w:p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изразен</w:t>
            </w:r>
          </w:p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в % </w:t>
            </w:r>
          </w:p>
        </w:tc>
      </w:tr>
      <w:tr w:rsidR="000B455D" w:rsidRPr="00EF4852" w:rsidTr="00974D74">
        <w:trPr>
          <w:trHeight w:val="647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Стандартни котли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4 - 400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70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84+2 logPn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&gt;= 50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80+3 logPn</w:t>
            </w:r>
          </w:p>
        </w:tc>
      </w:tr>
      <w:tr w:rsidR="000B455D" w:rsidRPr="00EF4852" w:rsidTr="00974D74">
        <w:trPr>
          <w:trHeight w:val="8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Нискотемпера-турни котли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(1)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4 - 400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70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87,5+1,5 logPn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40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87,5+1,5 logPn</w:t>
            </w:r>
          </w:p>
        </w:tc>
      </w:tr>
      <w:tr w:rsidR="000B455D" w:rsidRPr="00EF4852" w:rsidTr="00974D74">
        <w:trPr>
          <w:trHeight w:val="84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Газо- кондензиращи котли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4 - 400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70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91+1 logPn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30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(2)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97+1 logPn</w:t>
            </w:r>
          </w:p>
        </w:tc>
      </w:tr>
      <w:tr w:rsidR="000B455D" w:rsidRPr="00EF4852" w:rsidTr="00974D74">
        <w:trPr>
          <w:trHeight w:val="84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Подобрени кондензацион</w:t>
            </w:r>
          </w:p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ни котли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4-400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94,0 +1,0 * logPn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0B455D" w:rsidRPr="00EF4852" w:rsidTr="00974D74">
        <w:trPr>
          <w:trHeight w:val="84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Година на производство</w:t>
            </w:r>
          </w:p>
        </w:tc>
        <w:tc>
          <w:tcPr>
            <w:tcW w:w="6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0B455D" w:rsidRPr="00EF4852" w:rsidTr="00974D74">
        <w:trPr>
          <w:trHeight w:val="848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Котли на биомаса с естествена тяга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преди 1978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78,0 +2,0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72,0 +3,0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0B455D" w:rsidRPr="00EF4852" w:rsidTr="00974D74">
        <w:trPr>
          <w:trHeight w:val="848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1978-1994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80,0 +2,0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75,0 +3,0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0B455D" w:rsidRPr="00EF4852" w:rsidTr="00974D74">
        <w:trPr>
          <w:trHeight w:val="848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след 1994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81,0 +2,0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77,0 +3,0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0B455D" w:rsidRPr="00EF4852" w:rsidTr="00974D74">
        <w:trPr>
          <w:trHeight w:val="848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Котли на биомаса с изкуствена тяга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преди 1978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80,0 +2,0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75,0 +3,0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0B455D" w:rsidRPr="00EF4852" w:rsidTr="00974D74">
        <w:trPr>
          <w:trHeight w:val="848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1978-1986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82,0 +2,0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77,5 +3,0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0B455D" w:rsidRPr="00EF4852" w:rsidTr="00974D74">
        <w:trPr>
          <w:trHeight w:val="848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1986-1994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84,0 +2,0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80,0 +3,0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0B455D" w:rsidRPr="00EF4852" w:rsidTr="00974D74">
        <w:trPr>
          <w:trHeight w:val="848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след 1994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85,0 +2,0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(3)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81,5 +3,0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0B455D" w:rsidRPr="00EF4852" w:rsidTr="00974D74">
        <w:trPr>
          <w:trHeight w:val="848"/>
          <w:jc w:val="center"/>
        </w:trPr>
        <w:tc>
          <w:tcPr>
            <w:tcW w:w="9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40" w:right="140"/>
              <w:jc w:val="both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lastRenderedPageBreak/>
              <w:t>(1)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 Включително кондензиращи котли, използващи течни горива.</w:t>
            </w:r>
          </w:p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44" w:right="144"/>
              <w:jc w:val="both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(2)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 Температура на захранващата вода в котела.</w:t>
            </w:r>
          </w:p>
          <w:p w:rsidR="000B455D" w:rsidRPr="00EF4852" w:rsidRDefault="000B455D" w:rsidP="00974D7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44" w:right="144"/>
              <w:jc w:val="both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 xml:space="preserve">(3) 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Топлинна мощност на котела при номинално налягане</w:t>
            </w:r>
          </w:p>
        </w:tc>
      </w:tr>
    </w:tbl>
    <w:p w:rsidR="000B455D" w:rsidRDefault="000B455D" w:rsidP="000B455D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0B455D" w:rsidRPr="00427464" w:rsidRDefault="000B455D" w:rsidP="000B455D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Когато предложените с енергийното обследване мерки са основание за разработване на инвестиционен проект, който подлежи на оценяване на съответствието с изискванията на чл. 169 и на съгласуване и одобряване от съответните държавни и общински органи (чл. 144 ЗУТ), този проект още при разработването му трябва да бъде съобразен и с останалите основни изисквания към строежа, а именно с действащите норми и правила за надеждност и сеизмична устойчивост на конструкцията, за пожарна безопасност, както и със санитарно-хигиенните изисквания и с изискванията за безопасна експлоатация. Изпълнението на тези основни изисквания също не трябва да противоречат на изискванията за енергийна ефективност т.е прилага се интегриран подход при изпълнение на нормите.</w:t>
      </w:r>
    </w:p>
    <w:p w:rsidR="000B455D" w:rsidRPr="000B455D" w:rsidRDefault="000B455D" w:rsidP="00427464">
      <w:pPr>
        <w:rPr>
          <w:b/>
        </w:rPr>
      </w:pPr>
    </w:p>
    <w:sectPr w:rsidR="000B455D" w:rsidRPr="000B455D" w:rsidSect="00DE4B8B">
      <w:footerReference w:type="default" r:id="rId9"/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5A0" w:rsidRDefault="00C535A0" w:rsidP="004F7DA3">
      <w:pPr>
        <w:spacing w:after="0" w:line="240" w:lineRule="auto"/>
      </w:pPr>
      <w:r>
        <w:separator/>
      </w:r>
    </w:p>
  </w:endnote>
  <w:endnote w:type="continuationSeparator" w:id="0">
    <w:p w:rsidR="00C535A0" w:rsidRDefault="00C535A0" w:rsidP="004F7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8509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F7DA3" w:rsidRPr="004000B8" w:rsidRDefault="004F7DA3" w:rsidP="004000B8">
        <w:pPr>
          <w:pStyle w:val="Footer"/>
          <w:jc w:val="right"/>
          <w:rPr>
            <w:noProof/>
            <w:lang w:val="bg-BG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40B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000B8" w:rsidRPr="00EF4852" w:rsidRDefault="004000B8" w:rsidP="004000B8">
    <w:pPr>
      <w:snapToGrid w:val="0"/>
      <w:spacing w:after="120" w:line="240" w:lineRule="auto"/>
      <w:jc w:val="center"/>
      <w:rPr>
        <w:rFonts w:ascii="Times New Roman" w:hAnsi="Times New Roman"/>
        <w:b/>
        <w:sz w:val="60"/>
        <w:szCs w:val="60"/>
        <w:lang w:val="bg-BG"/>
      </w:rPr>
    </w:pPr>
    <w:r w:rsidRPr="004000B8">
      <w:rPr>
        <w:rFonts w:ascii="Times New Roman" w:hAnsi="Times New Roman"/>
        <w:i/>
        <w:lang w:val="bg-BG"/>
      </w:rPr>
      <w:t>Национална програма за енергийна ефективност на многофамилни жилищни</w:t>
    </w:r>
    <w:r w:rsidRPr="00EF4852">
      <w:rPr>
        <w:rFonts w:ascii="Times New Roman" w:hAnsi="Times New Roman"/>
        <w:b/>
        <w:sz w:val="60"/>
        <w:szCs w:val="60"/>
        <w:lang w:val="bg-BG"/>
      </w:rPr>
      <w:t xml:space="preserve"> </w:t>
    </w:r>
    <w:r w:rsidRPr="004000B8">
      <w:rPr>
        <w:rFonts w:ascii="Times New Roman" w:hAnsi="Times New Roman"/>
        <w:i/>
        <w:lang w:val="bg-BG"/>
      </w:rPr>
      <w:t>сгради</w:t>
    </w:r>
  </w:p>
  <w:p w:rsidR="004F7DA3" w:rsidRDefault="004F7D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5A0" w:rsidRDefault="00C535A0" w:rsidP="004F7DA3">
      <w:pPr>
        <w:spacing w:after="0" w:line="240" w:lineRule="auto"/>
      </w:pPr>
      <w:r>
        <w:separator/>
      </w:r>
    </w:p>
  </w:footnote>
  <w:footnote w:type="continuationSeparator" w:id="0">
    <w:p w:rsidR="00C535A0" w:rsidRDefault="00C535A0" w:rsidP="004F7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15A21"/>
    <w:multiLevelType w:val="hybridMultilevel"/>
    <w:tmpl w:val="FF96C072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1">
    <w:nsid w:val="1EE31EC7"/>
    <w:multiLevelType w:val="hybridMultilevel"/>
    <w:tmpl w:val="ED240A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371A4"/>
    <w:multiLevelType w:val="hybridMultilevel"/>
    <w:tmpl w:val="D702F89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D949F5"/>
    <w:multiLevelType w:val="hybridMultilevel"/>
    <w:tmpl w:val="F2E49600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3315E96"/>
    <w:multiLevelType w:val="hybridMultilevel"/>
    <w:tmpl w:val="3E1073AA"/>
    <w:lvl w:ilvl="0" w:tplc="D4D2F58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45646E1"/>
    <w:multiLevelType w:val="hybridMultilevel"/>
    <w:tmpl w:val="D1C876E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2126CA"/>
    <w:multiLevelType w:val="multilevel"/>
    <w:tmpl w:val="8556CDD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510C0301"/>
    <w:multiLevelType w:val="hybridMultilevel"/>
    <w:tmpl w:val="D1E4B3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61185F"/>
    <w:multiLevelType w:val="hybridMultilevel"/>
    <w:tmpl w:val="F4FAD1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A26D88"/>
    <w:multiLevelType w:val="hybridMultilevel"/>
    <w:tmpl w:val="845C50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D20960"/>
    <w:multiLevelType w:val="hybridMultilevel"/>
    <w:tmpl w:val="9DF419D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8D463EC"/>
    <w:multiLevelType w:val="multilevel"/>
    <w:tmpl w:val="2B8264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DE37CA6"/>
    <w:multiLevelType w:val="hybridMultilevel"/>
    <w:tmpl w:val="A5E8569E"/>
    <w:lvl w:ilvl="0" w:tplc="5ECABF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F65B34"/>
    <w:multiLevelType w:val="hybridMultilevel"/>
    <w:tmpl w:val="5DDAE3F0"/>
    <w:lvl w:ilvl="0" w:tplc="0402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4"/>
  </w:num>
  <w:num w:numId="8">
    <w:abstractNumId w:val="12"/>
  </w:num>
  <w:num w:numId="9">
    <w:abstractNumId w:val="11"/>
  </w:num>
  <w:num w:numId="10">
    <w:abstractNumId w:val="6"/>
  </w:num>
  <w:num w:numId="11">
    <w:abstractNumId w:val="10"/>
  </w:num>
  <w:num w:numId="12">
    <w:abstractNumId w:val="1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EB"/>
    <w:rsid w:val="000440B5"/>
    <w:rsid w:val="00047487"/>
    <w:rsid w:val="00096678"/>
    <w:rsid w:val="000B455D"/>
    <w:rsid w:val="000D73A6"/>
    <w:rsid w:val="000E5936"/>
    <w:rsid w:val="001116C4"/>
    <w:rsid w:val="00126BC0"/>
    <w:rsid w:val="001464EB"/>
    <w:rsid w:val="001D51C4"/>
    <w:rsid w:val="004000B8"/>
    <w:rsid w:val="0041132A"/>
    <w:rsid w:val="00427464"/>
    <w:rsid w:val="004B6826"/>
    <w:rsid w:val="004E0E56"/>
    <w:rsid w:val="004F7DA3"/>
    <w:rsid w:val="00540BD7"/>
    <w:rsid w:val="00553A34"/>
    <w:rsid w:val="005E10A5"/>
    <w:rsid w:val="006034ED"/>
    <w:rsid w:val="00691AFC"/>
    <w:rsid w:val="00707120"/>
    <w:rsid w:val="007267EE"/>
    <w:rsid w:val="007B7545"/>
    <w:rsid w:val="00823342"/>
    <w:rsid w:val="00862846"/>
    <w:rsid w:val="00877B29"/>
    <w:rsid w:val="00947540"/>
    <w:rsid w:val="009836E7"/>
    <w:rsid w:val="009A5364"/>
    <w:rsid w:val="00A65409"/>
    <w:rsid w:val="00A936ED"/>
    <w:rsid w:val="00A97724"/>
    <w:rsid w:val="00AB2AEB"/>
    <w:rsid w:val="00AF4FD3"/>
    <w:rsid w:val="00B401F0"/>
    <w:rsid w:val="00B57F72"/>
    <w:rsid w:val="00BF398A"/>
    <w:rsid w:val="00C0065F"/>
    <w:rsid w:val="00C535A0"/>
    <w:rsid w:val="00D043B6"/>
    <w:rsid w:val="00DE4B8B"/>
    <w:rsid w:val="00DE6869"/>
    <w:rsid w:val="00EF4081"/>
    <w:rsid w:val="00F1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4E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DA3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DA3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B29"/>
    <w:rPr>
      <w:rFonts w:ascii="Tahoma" w:eastAsia="Calibri" w:hAnsi="Tahoma" w:cs="Tahoma"/>
      <w:sz w:val="16"/>
      <w:szCs w:val="16"/>
      <w:lang w:val="en-US"/>
    </w:rPr>
  </w:style>
  <w:style w:type="paragraph" w:customStyle="1" w:styleId="Default">
    <w:name w:val="Default"/>
    <w:rsid w:val="000B455D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0B455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4E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DA3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DA3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B29"/>
    <w:rPr>
      <w:rFonts w:ascii="Tahoma" w:eastAsia="Calibri" w:hAnsi="Tahoma" w:cs="Tahoma"/>
      <w:sz w:val="16"/>
      <w:szCs w:val="16"/>
      <w:lang w:val="en-US"/>
    </w:rPr>
  </w:style>
  <w:style w:type="paragraph" w:customStyle="1" w:styleId="Default">
    <w:name w:val="Default"/>
    <w:rsid w:val="000B455D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0B455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6996</Words>
  <Characters>39883</Characters>
  <Application>Microsoft Office Word</Application>
  <DocSecurity>0</DocSecurity>
  <Lines>332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Miryana Hristova</cp:lastModifiedBy>
  <cp:revision>3</cp:revision>
  <cp:lastPrinted>2016-11-07T13:42:00Z</cp:lastPrinted>
  <dcterms:created xsi:type="dcterms:W3CDTF">2016-11-03T12:45:00Z</dcterms:created>
  <dcterms:modified xsi:type="dcterms:W3CDTF">2016-11-07T13:42:00Z</dcterms:modified>
</cp:coreProperties>
</file>